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9ECDC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snapToGrid/>
          <w:color w:val="000000"/>
          <w:kern w:val="0"/>
          <w:sz w:val="28"/>
          <w:szCs w:val="28"/>
          <w:lang w:val="en-US" w:eastAsia="zh-CN" w:bidi="ar-SA"/>
        </w:rPr>
      </w:pPr>
      <w:r>
        <w:rPr>
          <w:rFonts w:hint="eastAsia" w:ascii="黑体" w:hAnsi="黑体" w:eastAsia="黑体" w:cs="黑体"/>
          <w:b/>
          <w:bCs/>
          <w:snapToGrid/>
          <w:color w:val="000000"/>
          <w:kern w:val="0"/>
          <w:sz w:val="28"/>
          <w:szCs w:val="28"/>
          <w:lang w:val="en-US" w:eastAsia="zh-CN" w:bidi="ar-SA"/>
        </w:rPr>
        <w:t>表1建设项目总体情况</w:t>
      </w:r>
    </w:p>
    <w:p w14:paraId="151FBD81">
      <w:pPr>
        <w:spacing w:line="89" w:lineRule="exact"/>
      </w:pPr>
    </w:p>
    <w:tbl>
      <w:tblPr>
        <w:tblStyle w:val="16"/>
        <w:tblW w:w="5257"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1335"/>
        <w:gridCol w:w="1641"/>
        <w:gridCol w:w="827"/>
        <w:gridCol w:w="471"/>
        <w:gridCol w:w="667"/>
        <w:gridCol w:w="543"/>
        <w:gridCol w:w="788"/>
        <w:gridCol w:w="739"/>
        <w:gridCol w:w="33"/>
        <w:gridCol w:w="437"/>
        <w:gridCol w:w="1276"/>
      </w:tblGrid>
      <w:tr w14:paraId="4E2AD3E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67" w:hRule="atLeast"/>
          <w:jc w:val="center"/>
        </w:trPr>
        <w:tc>
          <w:tcPr>
            <w:tcW w:w="762" w:type="pct"/>
            <w:tcBorders>
              <w:tl2br w:val="nil"/>
              <w:tr2bl w:val="nil"/>
            </w:tcBorders>
            <w:vAlign w:val="center"/>
          </w:tcPr>
          <w:p w14:paraId="3A8B254C">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建设项目</w:t>
            </w:r>
          </w:p>
          <w:p w14:paraId="3943D534">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名称</w:t>
            </w:r>
          </w:p>
        </w:tc>
        <w:tc>
          <w:tcPr>
            <w:tcW w:w="4237" w:type="pct"/>
            <w:gridSpan w:val="10"/>
            <w:tcBorders>
              <w:tl2br w:val="nil"/>
              <w:tr2bl w:val="nil"/>
            </w:tcBorders>
            <w:vAlign w:val="center"/>
          </w:tcPr>
          <w:p w14:paraId="47F14B1D">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eastAsia" w:ascii="Times New Roman" w:hAnsi="Times New Roman" w:cs="Times New Roman"/>
                <w:color w:val="000000"/>
                <w:sz w:val="24"/>
                <w:szCs w:val="24"/>
                <w:lang w:eastAsia="zh-CN"/>
              </w:rPr>
              <w:t>颍上绿动风电场项目（110kV升压站电磁环境影响评价）</w:t>
            </w:r>
          </w:p>
        </w:tc>
      </w:tr>
      <w:tr w14:paraId="08D7917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8" w:hRule="atLeast"/>
          <w:jc w:val="center"/>
        </w:trPr>
        <w:tc>
          <w:tcPr>
            <w:tcW w:w="762" w:type="pct"/>
            <w:tcBorders>
              <w:tl2br w:val="nil"/>
              <w:tr2bl w:val="nil"/>
            </w:tcBorders>
            <w:vAlign w:val="center"/>
          </w:tcPr>
          <w:p w14:paraId="4422738D">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建设单位</w:t>
            </w:r>
          </w:p>
        </w:tc>
        <w:tc>
          <w:tcPr>
            <w:tcW w:w="4237" w:type="pct"/>
            <w:gridSpan w:val="10"/>
            <w:tcBorders>
              <w:tl2br w:val="nil"/>
              <w:tr2bl w:val="nil"/>
            </w:tcBorders>
            <w:vAlign w:val="center"/>
          </w:tcPr>
          <w:p w14:paraId="0FB0A1C9">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eastAsia" w:ascii="Times New Roman" w:hAnsi="Times New Roman" w:cs="Times New Roman"/>
                <w:color w:val="000000"/>
                <w:sz w:val="24"/>
                <w:szCs w:val="24"/>
                <w:lang w:eastAsia="zh-CN"/>
              </w:rPr>
              <w:t>颍上绿动风电有限公司</w:t>
            </w:r>
          </w:p>
        </w:tc>
      </w:tr>
      <w:tr w14:paraId="64CD68A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762" w:type="pct"/>
            <w:tcBorders>
              <w:tl2br w:val="nil"/>
              <w:tr2bl w:val="nil"/>
            </w:tcBorders>
            <w:vAlign w:val="center"/>
          </w:tcPr>
          <w:p w14:paraId="7BD1FA75">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法人代表/</w:t>
            </w:r>
          </w:p>
          <w:p w14:paraId="008F0CE7">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授权代表</w:t>
            </w:r>
          </w:p>
        </w:tc>
        <w:tc>
          <w:tcPr>
            <w:tcW w:w="1409" w:type="pct"/>
            <w:gridSpan w:val="2"/>
            <w:tcBorders>
              <w:tl2br w:val="nil"/>
              <w:tr2bl w:val="nil"/>
            </w:tcBorders>
            <w:vAlign w:val="center"/>
          </w:tcPr>
          <w:p w14:paraId="235864E1">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许爱民</w:t>
            </w:r>
          </w:p>
        </w:tc>
        <w:tc>
          <w:tcPr>
            <w:tcW w:w="1410" w:type="pct"/>
            <w:gridSpan w:val="4"/>
            <w:tcBorders>
              <w:tl2br w:val="nil"/>
              <w:tr2bl w:val="nil"/>
            </w:tcBorders>
            <w:vAlign w:val="center"/>
          </w:tcPr>
          <w:p w14:paraId="7597C7D2">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联系人</w:t>
            </w:r>
          </w:p>
        </w:tc>
        <w:tc>
          <w:tcPr>
            <w:tcW w:w="1418" w:type="pct"/>
            <w:gridSpan w:val="4"/>
            <w:tcBorders>
              <w:tl2br w:val="nil"/>
              <w:tr2bl w:val="nil"/>
            </w:tcBorders>
            <w:vAlign w:val="center"/>
          </w:tcPr>
          <w:p w14:paraId="54FCC1F8">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付启兵</w:t>
            </w:r>
          </w:p>
        </w:tc>
      </w:tr>
      <w:tr w14:paraId="52133B8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762" w:type="pct"/>
            <w:tcBorders>
              <w:tl2br w:val="nil"/>
              <w:tr2bl w:val="nil"/>
            </w:tcBorders>
            <w:vAlign w:val="center"/>
          </w:tcPr>
          <w:p w14:paraId="70B4A42A">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通讯地址</w:t>
            </w:r>
          </w:p>
        </w:tc>
        <w:tc>
          <w:tcPr>
            <w:tcW w:w="4237" w:type="pct"/>
            <w:gridSpan w:val="10"/>
            <w:tcBorders>
              <w:tl2br w:val="nil"/>
              <w:tr2bl w:val="nil"/>
            </w:tcBorders>
            <w:vAlign w:val="center"/>
          </w:tcPr>
          <w:p w14:paraId="16C24865">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安徽省阜阳市颍上县江店孜镇农科村农科24号</w:t>
            </w:r>
          </w:p>
        </w:tc>
      </w:tr>
      <w:tr w14:paraId="3B9A06F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762" w:type="pct"/>
            <w:tcBorders>
              <w:tl2br w:val="nil"/>
              <w:tr2bl w:val="nil"/>
            </w:tcBorders>
            <w:vAlign w:val="center"/>
          </w:tcPr>
          <w:p w14:paraId="5CD7F147">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联系电话</w:t>
            </w:r>
          </w:p>
        </w:tc>
        <w:tc>
          <w:tcPr>
            <w:tcW w:w="937" w:type="pct"/>
            <w:tcBorders>
              <w:tl2br w:val="nil"/>
              <w:tr2bl w:val="nil"/>
            </w:tcBorders>
            <w:vAlign w:val="center"/>
          </w:tcPr>
          <w:p w14:paraId="469750AC">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18571673566</w:t>
            </w:r>
          </w:p>
        </w:tc>
        <w:tc>
          <w:tcPr>
            <w:tcW w:w="741" w:type="pct"/>
            <w:gridSpan w:val="2"/>
            <w:tcBorders>
              <w:tl2br w:val="nil"/>
              <w:tr2bl w:val="nil"/>
            </w:tcBorders>
            <w:vAlign w:val="center"/>
          </w:tcPr>
          <w:p w14:paraId="32C7DC95">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传真</w:t>
            </w:r>
          </w:p>
        </w:tc>
        <w:tc>
          <w:tcPr>
            <w:tcW w:w="1141" w:type="pct"/>
            <w:gridSpan w:val="3"/>
            <w:tcBorders>
              <w:tl2br w:val="nil"/>
              <w:tr2bl w:val="nil"/>
            </w:tcBorders>
            <w:vAlign w:val="center"/>
          </w:tcPr>
          <w:p w14:paraId="591BCBE8">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w:t>
            </w:r>
          </w:p>
        </w:tc>
        <w:tc>
          <w:tcPr>
            <w:tcW w:w="422" w:type="pct"/>
            <w:tcBorders>
              <w:tl2br w:val="nil"/>
              <w:tr2bl w:val="nil"/>
            </w:tcBorders>
            <w:vAlign w:val="center"/>
          </w:tcPr>
          <w:p w14:paraId="1D5A511F">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邮政编码</w:t>
            </w:r>
          </w:p>
        </w:tc>
        <w:tc>
          <w:tcPr>
            <w:tcW w:w="995" w:type="pct"/>
            <w:gridSpan w:val="3"/>
            <w:tcBorders>
              <w:tl2br w:val="nil"/>
              <w:tr2bl w:val="nil"/>
            </w:tcBorders>
            <w:vAlign w:val="center"/>
          </w:tcPr>
          <w:p w14:paraId="7B0D2786">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236000</w:t>
            </w:r>
          </w:p>
        </w:tc>
      </w:tr>
      <w:tr w14:paraId="260702E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762" w:type="pct"/>
            <w:tcBorders>
              <w:tl2br w:val="nil"/>
              <w:tr2bl w:val="nil"/>
            </w:tcBorders>
            <w:vAlign w:val="center"/>
          </w:tcPr>
          <w:p w14:paraId="2AD815CD">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建设地点</w:t>
            </w:r>
          </w:p>
        </w:tc>
        <w:tc>
          <w:tcPr>
            <w:tcW w:w="4237" w:type="pct"/>
            <w:gridSpan w:val="10"/>
            <w:tcBorders>
              <w:tl2br w:val="nil"/>
              <w:tr2bl w:val="nil"/>
            </w:tcBorders>
            <w:vAlign w:val="center"/>
          </w:tcPr>
          <w:p w14:paraId="7758309E">
            <w:pPr>
              <w:widowControl/>
              <w:kinsoku/>
              <w:autoSpaceDE/>
              <w:autoSpaceDN/>
              <w:adjustRightInd/>
              <w:snapToGrid/>
              <w:spacing w:line="240" w:lineRule="auto"/>
              <w:jc w:val="center"/>
              <w:textAlignment w:val="auto"/>
              <w:rPr>
                <w:rFonts w:hint="eastAsia"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安徽省阜阳市颍上县江店孜镇坡杨路东侧</w:t>
            </w:r>
          </w:p>
        </w:tc>
      </w:tr>
      <w:tr w14:paraId="62D029A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629" w:hRule="atLeast"/>
          <w:jc w:val="center"/>
        </w:trPr>
        <w:tc>
          <w:tcPr>
            <w:tcW w:w="762" w:type="pct"/>
            <w:tcBorders>
              <w:tl2br w:val="nil"/>
              <w:tr2bl w:val="nil"/>
            </w:tcBorders>
            <w:vAlign w:val="center"/>
          </w:tcPr>
          <w:p w14:paraId="1931959C">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项目建设</w:t>
            </w:r>
          </w:p>
          <w:p w14:paraId="1F7B290D">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性质</w:t>
            </w:r>
          </w:p>
        </w:tc>
        <w:tc>
          <w:tcPr>
            <w:tcW w:w="1678" w:type="pct"/>
            <w:gridSpan w:val="3"/>
            <w:tcBorders>
              <w:tl2br w:val="nil"/>
              <w:tr2bl w:val="nil"/>
            </w:tcBorders>
            <w:vAlign w:val="center"/>
          </w:tcPr>
          <w:p w14:paraId="30156628">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新建</w:t>
            </w:r>
            <w:r>
              <w:rPr>
                <w:rFonts w:hint="eastAsia" w:ascii="Times New Roman" w:hAnsi="Times New Roman" w:eastAsia="宋体" w:cs="Times New Roman"/>
                <w:snapToGrid/>
                <w:color w:val="000000"/>
                <w:kern w:val="0"/>
                <w:sz w:val="24"/>
                <w:szCs w:val="24"/>
                <w:lang w:val="en-US" w:eastAsia="zh-CN" w:bidi="ar-SA"/>
              </w:rPr>
              <w:sym w:font="Wingdings" w:char="00FE"/>
            </w:r>
            <w:r>
              <w:rPr>
                <w:rFonts w:hint="default" w:ascii="Times New Roman" w:hAnsi="Times New Roman" w:eastAsia="宋体" w:cs="Times New Roman"/>
                <w:snapToGrid/>
                <w:color w:val="000000"/>
                <w:kern w:val="0"/>
                <w:sz w:val="24"/>
                <w:szCs w:val="24"/>
                <w:lang w:val="en-US" w:eastAsia="zh-CN" w:bidi="ar-SA"/>
              </w:rPr>
              <w:t>改扩建</w:t>
            </w:r>
            <w:r>
              <w:rPr>
                <w:rFonts w:hint="eastAsia" w:ascii="Times New Roman" w:hAnsi="Times New Roman" w:eastAsia="宋体" w:cs="Times New Roman"/>
                <w:snapToGrid/>
                <w:color w:val="000000"/>
                <w:kern w:val="0"/>
                <w:sz w:val="24"/>
                <w:szCs w:val="24"/>
                <w:lang w:val="en-US" w:eastAsia="zh-CN" w:bidi="ar-SA"/>
              </w:rPr>
              <w:sym w:font="Wingdings" w:char="00A8"/>
            </w:r>
            <w:r>
              <w:rPr>
                <w:rFonts w:hint="default" w:ascii="Times New Roman" w:hAnsi="Times New Roman" w:eastAsia="宋体" w:cs="Times New Roman"/>
                <w:snapToGrid/>
                <w:color w:val="000000"/>
                <w:kern w:val="0"/>
                <w:sz w:val="24"/>
                <w:szCs w:val="24"/>
                <w:lang w:val="en-US" w:eastAsia="zh-CN" w:bidi="ar-SA"/>
              </w:rPr>
              <w:t>技改</w:t>
            </w:r>
            <w:r>
              <w:rPr>
                <w:rFonts w:hint="eastAsia" w:ascii="Times New Roman" w:hAnsi="Times New Roman" w:eastAsia="宋体" w:cs="Times New Roman"/>
                <w:snapToGrid/>
                <w:color w:val="000000"/>
                <w:kern w:val="0"/>
                <w:sz w:val="24"/>
                <w:szCs w:val="24"/>
                <w:lang w:val="en-US" w:eastAsia="zh-CN" w:bidi="ar-SA"/>
              </w:rPr>
              <w:sym w:font="Wingdings" w:char="00A8"/>
            </w:r>
          </w:p>
        </w:tc>
        <w:tc>
          <w:tcPr>
            <w:tcW w:w="1141" w:type="pct"/>
            <w:gridSpan w:val="3"/>
            <w:tcBorders>
              <w:tl2br w:val="nil"/>
              <w:tr2bl w:val="nil"/>
            </w:tcBorders>
            <w:vAlign w:val="center"/>
          </w:tcPr>
          <w:p w14:paraId="6266B354">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行业类别</w:t>
            </w:r>
          </w:p>
        </w:tc>
        <w:tc>
          <w:tcPr>
            <w:tcW w:w="1418" w:type="pct"/>
            <w:gridSpan w:val="4"/>
            <w:tcBorders>
              <w:tl2br w:val="nil"/>
              <w:tr2bl w:val="nil"/>
            </w:tcBorders>
            <w:vAlign w:val="center"/>
          </w:tcPr>
          <w:p w14:paraId="5CB83864">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eastAsia" w:ascii="Times New Roman" w:hAnsi="Times New Roman" w:cs="Times New Roman"/>
                <w:color w:val="000000"/>
                <w:sz w:val="24"/>
                <w:szCs w:val="24"/>
                <w:lang w:val="en-US" w:eastAsia="zh-CN"/>
              </w:rPr>
              <w:t>161输变电工程</w:t>
            </w:r>
          </w:p>
        </w:tc>
      </w:tr>
      <w:tr w14:paraId="22B6BC5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762" w:type="pct"/>
            <w:tcBorders>
              <w:tl2br w:val="nil"/>
              <w:tr2bl w:val="nil"/>
            </w:tcBorders>
            <w:vAlign w:val="center"/>
          </w:tcPr>
          <w:p w14:paraId="3CC02236">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环境影响</w:t>
            </w:r>
          </w:p>
          <w:p w14:paraId="5A57BF99">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报告表名称</w:t>
            </w:r>
          </w:p>
        </w:tc>
        <w:tc>
          <w:tcPr>
            <w:tcW w:w="4237" w:type="pct"/>
            <w:gridSpan w:val="10"/>
            <w:tcBorders>
              <w:tl2br w:val="nil"/>
              <w:tr2bl w:val="nil"/>
            </w:tcBorders>
            <w:vAlign w:val="center"/>
          </w:tcPr>
          <w:p w14:paraId="1F63A778">
            <w:pPr>
              <w:widowControl/>
              <w:kinsoku/>
              <w:autoSpaceDE/>
              <w:autoSpaceDN/>
              <w:adjustRightInd/>
              <w:snapToGrid/>
              <w:spacing w:line="240" w:lineRule="auto"/>
              <w:jc w:val="center"/>
              <w:textAlignment w:val="auto"/>
              <w:rPr>
                <w:rFonts w:hint="eastAsia"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颍上绿动风电有限公司</w:t>
            </w:r>
          </w:p>
          <w:p w14:paraId="0BD5E44F">
            <w:pPr>
              <w:widowControl/>
              <w:kinsoku/>
              <w:autoSpaceDE/>
              <w:autoSpaceDN/>
              <w:adjustRightInd/>
              <w:snapToGrid/>
              <w:spacing w:line="240" w:lineRule="auto"/>
              <w:jc w:val="center"/>
              <w:textAlignment w:val="auto"/>
              <w:rPr>
                <w:rFonts w:hint="eastAsia"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颍上绿动风电场项目（110kV升压站电磁环境影响评价）</w:t>
            </w:r>
          </w:p>
          <w:p w14:paraId="14A84373">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环境影响报告表</w:t>
            </w:r>
          </w:p>
        </w:tc>
      </w:tr>
      <w:tr w14:paraId="19CA631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762" w:type="pct"/>
            <w:tcBorders>
              <w:tl2br w:val="nil"/>
              <w:tr2bl w:val="nil"/>
            </w:tcBorders>
            <w:vAlign w:val="center"/>
          </w:tcPr>
          <w:p w14:paraId="1CE88D53">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环境影响</w:t>
            </w:r>
          </w:p>
          <w:p w14:paraId="1E25FD4C">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评价单位</w:t>
            </w:r>
          </w:p>
        </w:tc>
        <w:tc>
          <w:tcPr>
            <w:tcW w:w="4237" w:type="pct"/>
            <w:gridSpan w:val="10"/>
            <w:tcBorders>
              <w:tl2br w:val="nil"/>
              <w:tr2bl w:val="nil"/>
            </w:tcBorders>
            <w:vAlign w:val="center"/>
          </w:tcPr>
          <w:p w14:paraId="470CF102">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安徽睿晟环境科技有限公司</w:t>
            </w:r>
          </w:p>
        </w:tc>
      </w:tr>
      <w:tr w14:paraId="6463368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31" w:hRule="atLeast"/>
          <w:jc w:val="center"/>
        </w:trPr>
        <w:tc>
          <w:tcPr>
            <w:tcW w:w="762" w:type="pct"/>
            <w:tcBorders>
              <w:tl2br w:val="nil"/>
              <w:tr2bl w:val="nil"/>
            </w:tcBorders>
            <w:vAlign w:val="center"/>
          </w:tcPr>
          <w:p w14:paraId="3BF663E8">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初步设计</w:t>
            </w:r>
          </w:p>
          <w:p w14:paraId="18A5E0D5">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单位</w:t>
            </w:r>
          </w:p>
        </w:tc>
        <w:tc>
          <w:tcPr>
            <w:tcW w:w="4237" w:type="pct"/>
            <w:gridSpan w:val="10"/>
            <w:tcBorders>
              <w:tl2br w:val="nil"/>
              <w:tr2bl w:val="nil"/>
            </w:tcBorders>
            <w:vAlign w:val="center"/>
          </w:tcPr>
          <w:p w14:paraId="12D4B15E">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山东电力工程咨询院有限公司</w:t>
            </w:r>
          </w:p>
        </w:tc>
      </w:tr>
      <w:tr w14:paraId="6723885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762" w:type="pct"/>
            <w:tcBorders>
              <w:tl2br w:val="nil"/>
              <w:tr2bl w:val="nil"/>
            </w:tcBorders>
            <w:vAlign w:val="center"/>
          </w:tcPr>
          <w:p w14:paraId="3065B940">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环境影响评价审批部门</w:t>
            </w:r>
          </w:p>
        </w:tc>
        <w:tc>
          <w:tcPr>
            <w:tcW w:w="937" w:type="pct"/>
            <w:tcBorders>
              <w:tl2br w:val="nil"/>
              <w:tr2bl w:val="nil"/>
            </w:tcBorders>
            <w:vAlign w:val="center"/>
          </w:tcPr>
          <w:p w14:paraId="298C9E05">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阜阳市生态环境局</w:t>
            </w:r>
          </w:p>
        </w:tc>
        <w:tc>
          <w:tcPr>
            <w:tcW w:w="741" w:type="pct"/>
            <w:gridSpan w:val="2"/>
            <w:tcBorders>
              <w:tl2br w:val="nil"/>
              <w:tr2bl w:val="nil"/>
            </w:tcBorders>
            <w:vAlign w:val="center"/>
          </w:tcPr>
          <w:p w14:paraId="54404C1E">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文号</w:t>
            </w:r>
          </w:p>
        </w:tc>
        <w:tc>
          <w:tcPr>
            <w:tcW w:w="1141" w:type="pct"/>
            <w:gridSpan w:val="3"/>
            <w:tcBorders>
              <w:tl2br w:val="nil"/>
              <w:tr2bl w:val="nil"/>
            </w:tcBorders>
            <w:vAlign w:val="center"/>
          </w:tcPr>
          <w:p w14:paraId="7B28B7EA">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阜环行审函</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2023</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44号</w:t>
            </w:r>
          </w:p>
        </w:tc>
        <w:tc>
          <w:tcPr>
            <w:tcW w:w="422" w:type="pct"/>
            <w:tcBorders>
              <w:tl2br w:val="nil"/>
              <w:tr2bl w:val="nil"/>
            </w:tcBorders>
            <w:vAlign w:val="center"/>
          </w:tcPr>
          <w:p w14:paraId="6C6909F1">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时间</w:t>
            </w:r>
          </w:p>
        </w:tc>
        <w:tc>
          <w:tcPr>
            <w:tcW w:w="995" w:type="pct"/>
            <w:gridSpan w:val="3"/>
            <w:tcBorders>
              <w:tl2br w:val="nil"/>
              <w:tr2bl w:val="nil"/>
            </w:tcBorders>
            <w:vAlign w:val="center"/>
          </w:tcPr>
          <w:p w14:paraId="651EA417">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2023年5月9日</w:t>
            </w:r>
          </w:p>
        </w:tc>
      </w:tr>
      <w:tr w14:paraId="4526BE8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762" w:type="pct"/>
            <w:tcBorders>
              <w:tl2br w:val="nil"/>
              <w:tr2bl w:val="nil"/>
            </w:tcBorders>
            <w:vAlign w:val="center"/>
          </w:tcPr>
          <w:p w14:paraId="54B9AC35">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建设项目</w:t>
            </w:r>
          </w:p>
          <w:p w14:paraId="6FF240D7">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核准部门</w:t>
            </w:r>
          </w:p>
        </w:tc>
        <w:tc>
          <w:tcPr>
            <w:tcW w:w="937" w:type="pct"/>
            <w:tcBorders>
              <w:tl2br w:val="nil"/>
              <w:tr2bl w:val="nil"/>
            </w:tcBorders>
            <w:vAlign w:val="center"/>
          </w:tcPr>
          <w:p w14:paraId="308C6BE0">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安徽省发展和改革委员会</w:t>
            </w:r>
          </w:p>
        </w:tc>
        <w:tc>
          <w:tcPr>
            <w:tcW w:w="741" w:type="pct"/>
            <w:gridSpan w:val="2"/>
            <w:tcBorders>
              <w:tl2br w:val="nil"/>
              <w:tr2bl w:val="nil"/>
            </w:tcBorders>
            <w:vAlign w:val="center"/>
          </w:tcPr>
          <w:p w14:paraId="17DB8CF9">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文号</w:t>
            </w:r>
          </w:p>
        </w:tc>
        <w:tc>
          <w:tcPr>
            <w:tcW w:w="1141" w:type="pct"/>
            <w:gridSpan w:val="3"/>
            <w:tcBorders>
              <w:tl2br w:val="nil"/>
              <w:tr2bl w:val="nil"/>
            </w:tcBorders>
            <w:vAlign w:val="center"/>
          </w:tcPr>
          <w:p w14:paraId="7DE18941">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皖发改能源函[2020]539号</w:t>
            </w:r>
          </w:p>
        </w:tc>
        <w:tc>
          <w:tcPr>
            <w:tcW w:w="422" w:type="pct"/>
            <w:tcBorders>
              <w:tl2br w:val="nil"/>
              <w:tr2bl w:val="nil"/>
            </w:tcBorders>
            <w:vAlign w:val="center"/>
          </w:tcPr>
          <w:p w14:paraId="7313BF19">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时间</w:t>
            </w:r>
          </w:p>
        </w:tc>
        <w:tc>
          <w:tcPr>
            <w:tcW w:w="995" w:type="pct"/>
            <w:gridSpan w:val="3"/>
            <w:tcBorders>
              <w:tl2br w:val="nil"/>
              <w:tr2bl w:val="nil"/>
            </w:tcBorders>
            <w:vAlign w:val="center"/>
          </w:tcPr>
          <w:p w14:paraId="0DD03FB0">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auto"/>
                <w:kern w:val="0"/>
                <w:sz w:val="24"/>
                <w:szCs w:val="24"/>
                <w:lang w:val="en-US" w:eastAsia="zh-CN" w:bidi="ar-SA"/>
              </w:rPr>
              <w:t>2020年12月23日</w:t>
            </w:r>
          </w:p>
        </w:tc>
      </w:tr>
      <w:tr w14:paraId="3FBD4E1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762" w:type="pct"/>
            <w:tcBorders>
              <w:tl2br w:val="nil"/>
              <w:tr2bl w:val="nil"/>
            </w:tcBorders>
            <w:vAlign w:val="center"/>
          </w:tcPr>
          <w:p w14:paraId="6183B709">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初步设计</w:t>
            </w:r>
          </w:p>
          <w:p w14:paraId="0E40EE34">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审批部门</w:t>
            </w:r>
          </w:p>
        </w:tc>
        <w:tc>
          <w:tcPr>
            <w:tcW w:w="937" w:type="pct"/>
            <w:tcBorders>
              <w:tl2br w:val="nil"/>
              <w:tr2bl w:val="nil"/>
            </w:tcBorders>
            <w:vAlign w:val="center"/>
          </w:tcPr>
          <w:p w14:paraId="3FB29777">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国核电力规划设计研究院重庆有限公司</w:t>
            </w:r>
          </w:p>
        </w:tc>
        <w:tc>
          <w:tcPr>
            <w:tcW w:w="741" w:type="pct"/>
            <w:gridSpan w:val="2"/>
            <w:tcBorders>
              <w:tl2br w:val="nil"/>
              <w:tr2bl w:val="nil"/>
            </w:tcBorders>
            <w:vAlign w:val="center"/>
          </w:tcPr>
          <w:p w14:paraId="05CF1AB1">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文号</w:t>
            </w:r>
          </w:p>
        </w:tc>
        <w:tc>
          <w:tcPr>
            <w:tcW w:w="1141" w:type="pct"/>
            <w:gridSpan w:val="3"/>
            <w:tcBorders>
              <w:tl2br w:val="nil"/>
              <w:tr2bl w:val="nil"/>
            </w:tcBorders>
            <w:vAlign w:val="center"/>
          </w:tcPr>
          <w:p w14:paraId="29B3DEA0">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国核电院渝设咨函〔2022]29号</w:t>
            </w:r>
          </w:p>
        </w:tc>
        <w:tc>
          <w:tcPr>
            <w:tcW w:w="422" w:type="pct"/>
            <w:tcBorders>
              <w:tl2br w:val="nil"/>
              <w:tr2bl w:val="nil"/>
            </w:tcBorders>
            <w:vAlign w:val="center"/>
          </w:tcPr>
          <w:p w14:paraId="55638135">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时间</w:t>
            </w:r>
          </w:p>
        </w:tc>
        <w:tc>
          <w:tcPr>
            <w:tcW w:w="995" w:type="pct"/>
            <w:gridSpan w:val="3"/>
            <w:tcBorders>
              <w:tl2br w:val="nil"/>
              <w:tr2bl w:val="nil"/>
            </w:tcBorders>
            <w:vAlign w:val="center"/>
          </w:tcPr>
          <w:p w14:paraId="6A7D83CD">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2022年9月15日</w:t>
            </w:r>
          </w:p>
        </w:tc>
      </w:tr>
      <w:tr w14:paraId="4170974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762" w:type="pct"/>
            <w:tcBorders>
              <w:tl2br w:val="nil"/>
              <w:tr2bl w:val="nil"/>
            </w:tcBorders>
            <w:vAlign w:val="center"/>
          </w:tcPr>
          <w:p w14:paraId="01EE2B3B">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环境保护设施设计单位</w:t>
            </w:r>
          </w:p>
        </w:tc>
        <w:tc>
          <w:tcPr>
            <w:tcW w:w="4237" w:type="pct"/>
            <w:gridSpan w:val="10"/>
            <w:tcBorders>
              <w:tl2br w:val="nil"/>
              <w:tr2bl w:val="nil"/>
            </w:tcBorders>
            <w:vAlign w:val="center"/>
          </w:tcPr>
          <w:p w14:paraId="15D736FF">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安丰电力建设集团有限公司</w:t>
            </w:r>
          </w:p>
        </w:tc>
      </w:tr>
      <w:tr w14:paraId="389E0E1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762" w:type="pct"/>
            <w:tcBorders>
              <w:tl2br w:val="nil"/>
              <w:tr2bl w:val="nil"/>
            </w:tcBorders>
            <w:vAlign w:val="center"/>
          </w:tcPr>
          <w:p w14:paraId="18D82D7D">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环境保护设施施工单位</w:t>
            </w:r>
          </w:p>
        </w:tc>
        <w:tc>
          <w:tcPr>
            <w:tcW w:w="4237" w:type="pct"/>
            <w:gridSpan w:val="10"/>
            <w:tcBorders>
              <w:tl2br w:val="nil"/>
              <w:tr2bl w:val="nil"/>
            </w:tcBorders>
            <w:vAlign w:val="center"/>
          </w:tcPr>
          <w:p w14:paraId="2B8B5085">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安丰电力建设集团有限公司</w:t>
            </w:r>
          </w:p>
        </w:tc>
      </w:tr>
      <w:tr w14:paraId="2EE4FE6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31" w:hRule="atLeast"/>
          <w:jc w:val="center"/>
        </w:trPr>
        <w:tc>
          <w:tcPr>
            <w:tcW w:w="762" w:type="pct"/>
            <w:tcBorders>
              <w:tl2br w:val="nil"/>
              <w:tr2bl w:val="nil"/>
            </w:tcBorders>
            <w:vAlign w:val="center"/>
          </w:tcPr>
          <w:p w14:paraId="24C31457">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环境保护设施监测单位</w:t>
            </w:r>
          </w:p>
        </w:tc>
        <w:tc>
          <w:tcPr>
            <w:tcW w:w="4237" w:type="pct"/>
            <w:gridSpan w:val="10"/>
            <w:tcBorders>
              <w:tl2br w:val="nil"/>
              <w:tr2bl w:val="nil"/>
            </w:tcBorders>
            <w:vAlign w:val="center"/>
          </w:tcPr>
          <w:p w14:paraId="3DDCF703">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FF0000"/>
                <w:kern w:val="0"/>
                <w:sz w:val="24"/>
                <w:szCs w:val="24"/>
                <w:lang w:val="en-US" w:eastAsia="zh-CN" w:bidi="ar-SA"/>
              </w:rPr>
            </w:pPr>
            <w:r>
              <w:rPr>
                <w:rFonts w:hint="default" w:ascii="Times New Roman" w:hAnsi="Times New Roman" w:eastAsia="宋体" w:cs="Times New Roman"/>
                <w:snapToGrid/>
                <w:color w:val="auto"/>
                <w:kern w:val="0"/>
                <w:sz w:val="24"/>
                <w:szCs w:val="24"/>
                <w:lang w:val="en-US" w:eastAsia="zh-CN" w:bidi="ar-SA"/>
              </w:rPr>
              <w:t>合肥鑫鼎环保科技有限责任公司</w:t>
            </w:r>
          </w:p>
        </w:tc>
      </w:tr>
      <w:tr w14:paraId="05D850A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762" w:type="pct"/>
            <w:tcBorders>
              <w:tl2br w:val="nil"/>
              <w:tr2bl w:val="nil"/>
            </w:tcBorders>
            <w:vAlign w:val="center"/>
          </w:tcPr>
          <w:p w14:paraId="7F2FDBB9">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p>
          <w:p w14:paraId="09A99BDE">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投资总概算</w:t>
            </w:r>
          </w:p>
          <w:p w14:paraId="65CF7687">
            <w:pPr>
              <w:widowControl/>
              <w:kinsoku/>
              <w:autoSpaceDE/>
              <w:autoSpaceDN/>
              <w:adjustRightInd/>
              <w:snapToGrid/>
              <w:spacing w:line="240" w:lineRule="auto"/>
              <w:jc w:val="center"/>
              <w:textAlignment w:val="auto"/>
              <w:rPr>
                <w:rFonts w:hint="eastAsia"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万元</w:t>
            </w:r>
            <w:r>
              <w:rPr>
                <w:rFonts w:hint="eastAsia" w:ascii="Times New Roman" w:hAnsi="Times New Roman" w:eastAsia="宋体" w:cs="Times New Roman"/>
                <w:snapToGrid/>
                <w:color w:val="000000"/>
                <w:kern w:val="0"/>
                <w:sz w:val="24"/>
                <w:szCs w:val="24"/>
                <w:lang w:val="en-US" w:eastAsia="zh-CN" w:bidi="ar-SA"/>
              </w:rPr>
              <w:t>）</w:t>
            </w:r>
          </w:p>
          <w:p w14:paraId="4A0E52AC">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p>
        </w:tc>
        <w:tc>
          <w:tcPr>
            <w:tcW w:w="937" w:type="pct"/>
            <w:tcBorders>
              <w:tl2br w:val="nil"/>
              <w:tr2bl w:val="nil"/>
            </w:tcBorders>
            <w:vAlign w:val="center"/>
          </w:tcPr>
          <w:p w14:paraId="2F018FE2">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12000</w:t>
            </w:r>
          </w:p>
        </w:tc>
        <w:tc>
          <w:tcPr>
            <w:tcW w:w="1122" w:type="pct"/>
            <w:gridSpan w:val="3"/>
            <w:tcBorders>
              <w:tl2br w:val="nil"/>
              <w:tr2bl w:val="nil"/>
            </w:tcBorders>
            <w:vAlign w:val="center"/>
          </w:tcPr>
          <w:p w14:paraId="7B48B2AC">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环境保护投资</w:t>
            </w:r>
          </w:p>
          <w:p w14:paraId="4A4F35A8">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w:t>
            </w:r>
            <w:r>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万元</w:t>
            </w:r>
            <w:r>
              <w:rPr>
                <w:rFonts w:hint="eastAsia"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w:t>
            </w:r>
          </w:p>
        </w:tc>
        <w:tc>
          <w:tcPr>
            <w:tcW w:w="760" w:type="pct"/>
            <w:gridSpan w:val="2"/>
            <w:tcBorders>
              <w:tl2br w:val="nil"/>
              <w:tr2bl w:val="nil"/>
            </w:tcBorders>
            <w:vAlign w:val="center"/>
          </w:tcPr>
          <w:p w14:paraId="2F1994DD">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64</w:t>
            </w:r>
          </w:p>
        </w:tc>
        <w:tc>
          <w:tcPr>
            <w:tcW w:w="690" w:type="pct"/>
            <w:gridSpan w:val="3"/>
            <w:tcBorders>
              <w:tl2br w:val="nil"/>
              <w:tr2bl w:val="nil"/>
            </w:tcBorders>
            <w:vAlign w:val="center"/>
          </w:tcPr>
          <w:p w14:paraId="6BAC693F">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环境保护投资占总投资比例</w:t>
            </w:r>
          </w:p>
        </w:tc>
        <w:tc>
          <w:tcPr>
            <w:tcW w:w="727" w:type="pct"/>
            <w:tcBorders>
              <w:tl2br w:val="nil"/>
              <w:tr2bl w:val="nil"/>
            </w:tcBorders>
            <w:vAlign w:val="center"/>
          </w:tcPr>
          <w:p w14:paraId="37E540D7">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0.53</w:t>
            </w:r>
            <w:r>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w:t>
            </w:r>
          </w:p>
        </w:tc>
      </w:tr>
      <w:tr w14:paraId="177C7A2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762" w:type="pct"/>
            <w:tcBorders>
              <w:tl2br w:val="nil"/>
              <w:tr2bl w:val="nil"/>
            </w:tcBorders>
            <w:vAlign w:val="center"/>
          </w:tcPr>
          <w:p w14:paraId="3D408880">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实际总投资</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万元</w:t>
            </w:r>
            <w:r>
              <w:rPr>
                <w:rFonts w:hint="eastAsia" w:ascii="Times New Roman" w:hAnsi="Times New Roman" w:eastAsia="宋体" w:cs="Times New Roman"/>
                <w:snapToGrid/>
                <w:color w:val="000000"/>
                <w:kern w:val="0"/>
                <w:sz w:val="24"/>
                <w:szCs w:val="24"/>
                <w:lang w:val="en-US" w:eastAsia="zh-CN" w:bidi="ar-SA"/>
              </w:rPr>
              <w:t>）</w:t>
            </w:r>
          </w:p>
        </w:tc>
        <w:tc>
          <w:tcPr>
            <w:tcW w:w="937" w:type="pct"/>
            <w:tcBorders>
              <w:tl2br w:val="nil"/>
              <w:tr2bl w:val="nil"/>
            </w:tcBorders>
            <w:vAlign w:val="center"/>
          </w:tcPr>
          <w:p w14:paraId="03C69041">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12000</w:t>
            </w:r>
          </w:p>
        </w:tc>
        <w:tc>
          <w:tcPr>
            <w:tcW w:w="1122" w:type="pct"/>
            <w:gridSpan w:val="3"/>
            <w:tcBorders>
              <w:tl2br w:val="nil"/>
              <w:tr2bl w:val="nil"/>
            </w:tcBorders>
            <w:vAlign w:val="center"/>
          </w:tcPr>
          <w:p w14:paraId="395D51A3">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环境保护投资</w:t>
            </w:r>
          </w:p>
          <w:p w14:paraId="511CF2C7">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w:t>
            </w:r>
            <w:r>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万元</w:t>
            </w:r>
          </w:p>
        </w:tc>
        <w:tc>
          <w:tcPr>
            <w:tcW w:w="760" w:type="pct"/>
            <w:gridSpan w:val="2"/>
            <w:tcBorders>
              <w:tl2br w:val="nil"/>
              <w:tr2bl w:val="nil"/>
            </w:tcBorders>
            <w:vAlign w:val="center"/>
          </w:tcPr>
          <w:p w14:paraId="451EECC4">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62</w:t>
            </w:r>
          </w:p>
        </w:tc>
        <w:tc>
          <w:tcPr>
            <w:tcW w:w="690" w:type="pct"/>
            <w:gridSpan w:val="3"/>
            <w:tcBorders>
              <w:tl2br w:val="nil"/>
              <w:tr2bl w:val="nil"/>
            </w:tcBorders>
            <w:vAlign w:val="center"/>
          </w:tcPr>
          <w:p w14:paraId="46AFAFEB">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环境保护投资占总投资比例</w:t>
            </w:r>
          </w:p>
        </w:tc>
        <w:tc>
          <w:tcPr>
            <w:tcW w:w="727" w:type="pct"/>
            <w:tcBorders>
              <w:tl2br w:val="nil"/>
              <w:tr2bl w:val="nil"/>
            </w:tcBorders>
            <w:vAlign w:val="center"/>
          </w:tcPr>
          <w:p w14:paraId="3EA6E19A">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0.52</w:t>
            </w:r>
            <w:r>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w:t>
            </w:r>
          </w:p>
        </w:tc>
      </w:tr>
      <w:tr w14:paraId="4CCA94E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762" w:type="pct"/>
            <w:tcBorders>
              <w:tl2br w:val="nil"/>
              <w:tr2bl w:val="nil"/>
            </w:tcBorders>
            <w:vAlign w:val="center"/>
          </w:tcPr>
          <w:p w14:paraId="7FA17312">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环评阶段项目建设内容</w:t>
            </w:r>
          </w:p>
        </w:tc>
        <w:tc>
          <w:tcPr>
            <w:tcW w:w="2369" w:type="pct"/>
            <w:gridSpan w:val="5"/>
            <w:tcBorders>
              <w:tl2br w:val="nil"/>
              <w:tr2bl w:val="nil"/>
            </w:tcBorders>
            <w:vAlign w:val="center"/>
          </w:tcPr>
          <w:p w14:paraId="5C12F283">
            <w:pPr>
              <w:keepNext w:val="0"/>
              <w:keepLines w:val="0"/>
              <w:pageBreakBefore w:val="0"/>
              <w:widowControl/>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snapToGrid/>
                <w:color w:val="auto"/>
                <w:kern w:val="0"/>
                <w:sz w:val="24"/>
                <w:szCs w:val="24"/>
                <w:lang w:val="en-US" w:eastAsia="zh-CN" w:bidi="ar-SA"/>
              </w:rPr>
            </w:pPr>
            <w:r>
              <w:rPr>
                <w:rFonts w:hint="default" w:ascii="Times New Roman" w:hAnsi="Times New Roman" w:eastAsia="宋体" w:cs="Times New Roman"/>
                <w:snapToGrid/>
                <w:color w:val="auto"/>
                <w:kern w:val="0"/>
                <w:sz w:val="24"/>
                <w:szCs w:val="24"/>
                <w:lang w:val="en-US" w:eastAsia="zh-CN" w:bidi="ar-SA"/>
              </w:rPr>
              <w:t>新建一座110kV升压站，站内设有1台容量为100MVA的主变，户外GIS布置，升压站110kV侧采用线路-变压器组接线方式。项目送出系统拟采用1回110kV线路架空送出，110kV送出线路工程不在本次评价范围内</w:t>
            </w:r>
          </w:p>
        </w:tc>
        <w:tc>
          <w:tcPr>
            <w:tcW w:w="891" w:type="pct"/>
            <w:gridSpan w:val="3"/>
            <w:tcBorders>
              <w:tl2br w:val="nil"/>
              <w:tr2bl w:val="nil"/>
            </w:tcBorders>
            <w:vAlign w:val="center"/>
          </w:tcPr>
          <w:p w14:paraId="7988EFEE">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auto"/>
                <w:kern w:val="0"/>
                <w:sz w:val="24"/>
                <w:szCs w:val="24"/>
                <w:lang w:val="en-US" w:eastAsia="zh-CN" w:bidi="ar-SA"/>
              </w:rPr>
            </w:pPr>
            <w:r>
              <w:rPr>
                <w:rFonts w:hint="default" w:ascii="Times New Roman" w:hAnsi="Times New Roman" w:eastAsia="宋体" w:cs="Times New Roman"/>
                <w:snapToGrid/>
                <w:color w:val="auto"/>
                <w:kern w:val="0"/>
                <w:sz w:val="24"/>
                <w:szCs w:val="24"/>
                <w:lang w:val="en-US" w:eastAsia="zh-CN" w:bidi="ar-SA"/>
              </w:rPr>
              <w:t>项目开工日期</w:t>
            </w:r>
          </w:p>
        </w:tc>
        <w:tc>
          <w:tcPr>
            <w:tcW w:w="976" w:type="pct"/>
            <w:gridSpan w:val="2"/>
            <w:tcBorders>
              <w:tl2br w:val="nil"/>
              <w:tr2bl w:val="nil"/>
            </w:tcBorders>
            <w:vAlign w:val="center"/>
          </w:tcPr>
          <w:p w14:paraId="4087294D">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auto"/>
                <w:kern w:val="0"/>
                <w:sz w:val="24"/>
                <w:szCs w:val="24"/>
                <w:lang w:val="en-US" w:eastAsia="zh-CN" w:bidi="ar-SA"/>
              </w:rPr>
            </w:pPr>
            <w:r>
              <w:rPr>
                <w:rFonts w:hint="eastAsia" w:ascii="Times New Roman" w:hAnsi="Times New Roman" w:eastAsia="宋体" w:cs="Times New Roman"/>
                <w:snapToGrid/>
                <w:color w:val="auto"/>
                <w:kern w:val="0"/>
                <w:sz w:val="24"/>
                <w:szCs w:val="24"/>
                <w:lang w:val="en-US" w:eastAsia="zh-CN" w:bidi="ar-SA"/>
              </w:rPr>
              <w:t>2023年6月</w:t>
            </w:r>
          </w:p>
        </w:tc>
      </w:tr>
      <w:tr w14:paraId="2CC4677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762" w:type="pct"/>
            <w:tcBorders>
              <w:tl2br w:val="nil"/>
              <w:tr2bl w:val="nil"/>
            </w:tcBorders>
            <w:vAlign w:val="center"/>
          </w:tcPr>
          <w:p w14:paraId="2E94A3EB">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项目实际建设内容</w:t>
            </w:r>
          </w:p>
        </w:tc>
        <w:tc>
          <w:tcPr>
            <w:tcW w:w="2369" w:type="pct"/>
            <w:gridSpan w:val="5"/>
            <w:tcBorders>
              <w:tl2br w:val="nil"/>
              <w:tr2bl w:val="nil"/>
            </w:tcBorders>
            <w:vAlign w:val="center"/>
          </w:tcPr>
          <w:p w14:paraId="14218553">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新建一座110kV升压站，站内设有1台容量为100MVA的主变，户外GIS布置，升压站110kV侧采用线路-变压器组接线方式。项目送出系统拟采用1回110kV线路架空送出</w:t>
            </w:r>
          </w:p>
        </w:tc>
        <w:tc>
          <w:tcPr>
            <w:tcW w:w="891" w:type="pct"/>
            <w:gridSpan w:val="3"/>
            <w:tcBorders>
              <w:tl2br w:val="nil"/>
              <w:tr2bl w:val="nil"/>
            </w:tcBorders>
            <w:vAlign w:val="center"/>
          </w:tcPr>
          <w:p w14:paraId="288C536E">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环境保护设施投入调试日期</w:t>
            </w:r>
          </w:p>
        </w:tc>
        <w:tc>
          <w:tcPr>
            <w:tcW w:w="976" w:type="pct"/>
            <w:gridSpan w:val="2"/>
            <w:tcBorders>
              <w:tl2br w:val="nil"/>
              <w:tr2bl w:val="nil"/>
            </w:tcBorders>
            <w:vAlign w:val="center"/>
          </w:tcPr>
          <w:p w14:paraId="7DB1962D">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FF0000"/>
                <w:kern w:val="0"/>
                <w:sz w:val="24"/>
                <w:szCs w:val="24"/>
                <w:lang w:val="en-US" w:eastAsia="zh-CN" w:bidi="ar-SA"/>
              </w:rPr>
            </w:pPr>
            <w:r>
              <w:rPr>
                <w:rFonts w:hint="eastAsia"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2024年8月</w:t>
            </w:r>
          </w:p>
        </w:tc>
      </w:tr>
      <w:tr w14:paraId="365D06F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69" w:hRule="atLeast"/>
          <w:jc w:val="center"/>
        </w:trPr>
        <w:tc>
          <w:tcPr>
            <w:tcW w:w="762" w:type="pct"/>
            <w:tcBorders>
              <w:tl2br w:val="nil"/>
              <w:tr2bl w:val="nil"/>
            </w:tcBorders>
            <w:vAlign w:val="center"/>
          </w:tcPr>
          <w:p w14:paraId="25084EFC">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项目建设过程简述</w:t>
            </w:r>
          </w:p>
        </w:tc>
        <w:tc>
          <w:tcPr>
            <w:tcW w:w="4237" w:type="pct"/>
            <w:gridSpan w:val="10"/>
            <w:tcBorders>
              <w:tl2br w:val="nil"/>
              <w:tr2bl w:val="nil"/>
            </w:tcBorders>
            <w:vAlign w:val="center"/>
          </w:tcPr>
          <w:p w14:paraId="06047EA3">
            <w:pPr>
              <w:widowControl w:val="0"/>
              <w:kinsoku/>
              <w:adjustRightInd/>
              <w:snapToGrid/>
              <w:spacing w:line="360" w:lineRule="auto"/>
              <w:ind w:firstLine="480" w:firstLineChars="200"/>
              <w:jc w:val="both"/>
              <w:textAlignment w:val="auto"/>
              <w:rPr>
                <w:rFonts w:hint="eastAsia"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（1）</w:t>
            </w:r>
            <w:r>
              <w:rPr>
                <w:rFonts w:hint="eastAsia"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2020年12月23日，取得</w:t>
            </w:r>
            <w:r>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安徽省发展改革委关于国家电投颖上绿动风电场项目核准的批复</w:t>
            </w:r>
            <w:r>
              <w:rPr>
                <w:rFonts w:hint="eastAsia"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（皖发改能源函〔2020〕539号）；</w:t>
            </w:r>
          </w:p>
          <w:p w14:paraId="5E6F6A9A">
            <w:pPr>
              <w:widowControl w:val="0"/>
              <w:kinsoku/>
              <w:adjustRightInd/>
              <w:snapToGrid/>
              <w:spacing w:line="360" w:lineRule="auto"/>
              <w:ind w:firstLine="480" w:firstLineChars="200"/>
              <w:jc w:val="both"/>
              <w:textAlignment w:val="auto"/>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（2）2023年3月，安徽睿晟环境科技有限公司编制完成《颍上绿动风电有限公司颍上绿动风电场项目（110kV升压站电磁环境影响评价）环境影响报告表》；</w:t>
            </w:r>
          </w:p>
          <w:p w14:paraId="6F2502D9">
            <w:pPr>
              <w:widowControl w:val="0"/>
              <w:kinsoku/>
              <w:adjustRightInd/>
              <w:snapToGrid/>
              <w:spacing w:line="360" w:lineRule="auto"/>
              <w:ind w:firstLine="480" w:firstLineChars="200"/>
              <w:jc w:val="both"/>
              <w:textAlignment w:val="auto"/>
              <w:rPr>
                <w:rFonts w:hint="eastAsia"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（3）2023年5月19日，取得阜阳市生态环境局关于颍上绿动风电有限公司颍上绿动风电场项目（110kV升压站电磁环境影响评价）环境影响报告表批复（阜环行审函[2023]44号）；</w:t>
            </w:r>
          </w:p>
          <w:p w14:paraId="06A40E6B">
            <w:pPr>
              <w:widowControl w:val="0"/>
              <w:kinsoku/>
              <w:adjustRightInd/>
              <w:snapToGrid/>
              <w:spacing w:line="360" w:lineRule="auto"/>
              <w:ind w:firstLine="480" w:firstLineChars="200"/>
              <w:jc w:val="both"/>
              <w:textAlignment w:val="auto"/>
              <w:rPr>
                <w:rFonts w:hint="eastAsia"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（4）2023年6月，项目开工建设；</w:t>
            </w:r>
          </w:p>
          <w:p w14:paraId="47A7D610">
            <w:pPr>
              <w:widowControl w:val="0"/>
              <w:kinsoku/>
              <w:adjustRightInd/>
              <w:snapToGrid/>
              <w:spacing w:line="360" w:lineRule="auto"/>
              <w:ind w:firstLine="480" w:firstLineChars="200"/>
              <w:jc w:val="both"/>
              <w:textAlignment w:val="auto"/>
              <w:rPr>
                <w:rFonts w:hint="eastAsia"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（5）2024年8月，项目建设完成；</w:t>
            </w:r>
          </w:p>
          <w:p w14:paraId="6A247390">
            <w:pPr>
              <w:widowControl w:val="0"/>
              <w:kinsoku/>
              <w:adjustRightInd/>
              <w:snapToGrid/>
              <w:spacing w:line="360" w:lineRule="auto"/>
              <w:ind w:firstLine="480" w:firstLineChars="200"/>
              <w:jc w:val="both"/>
              <w:textAlignment w:val="auto"/>
              <w:rPr>
                <w:rFonts w:hint="eastAsia" w:ascii="Times New Roman" w:hAnsi="Times New Roman" w:eastAsia="宋体" w:cs="Times New Roman"/>
                <w:snapToGrid/>
                <w:color w:val="auto"/>
                <w:kern w:val="0"/>
                <w:sz w:val="24"/>
                <w:szCs w:val="24"/>
                <w:lang w:val="en-US" w:eastAsia="zh-CN" w:bidi="ar-SA"/>
              </w:rPr>
            </w:pPr>
            <w:r>
              <w:rPr>
                <w:rFonts w:hint="eastAsia" w:ascii="Times New Roman" w:hAnsi="Times New Roman" w:eastAsia="宋体" w:cs="Times New Roman"/>
                <w:snapToGrid/>
                <w:color w:val="auto"/>
                <w:kern w:val="0"/>
                <w:sz w:val="24"/>
                <w:szCs w:val="24"/>
                <w:lang w:val="en-US" w:eastAsia="zh-CN" w:bidi="ar-SA"/>
              </w:rPr>
              <w:t>（6）2024年11月，合肥鑫鼎环保科技有限责任公司出具的验收检测报告。</w:t>
            </w:r>
          </w:p>
          <w:p w14:paraId="5B67219E">
            <w:pPr>
              <w:widowControl w:val="0"/>
              <w:kinsoku/>
              <w:adjustRightInd/>
              <w:snapToGrid/>
              <w:spacing w:line="360" w:lineRule="auto"/>
              <w:ind w:firstLine="480" w:firstLineChars="200"/>
              <w:jc w:val="both"/>
              <w:textAlignment w:val="auto"/>
              <w:rPr>
                <w:rFonts w:hint="eastAsia" w:ascii="Times New Roman" w:hAnsi="Times New Roman" w:eastAsia="宋体" w:cs="Times New Roman"/>
                <w:snapToGrid/>
                <w:color w:val="FF0000"/>
                <w:kern w:val="0"/>
                <w:sz w:val="24"/>
                <w:szCs w:val="24"/>
                <w:lang w:val="en-US" w:eastAsia="zh-CN" w:bidi="ar-SA"/>
              </w:rPr>
            </w:pPr>
          </w:p>
          <w:p w14:paraId="2B2D2D52">
            <w:pPr>
              <w:widowControl w:val="0"/>
              <w:kinsoku/>
              <w:adjustRightInd/>
              <w:snapToGrid/>
              <w:spacing w:line="360" w:lineRule="auto"/>
              <w:ind w:firstLine="480" w:firstLineChars="200"/>
              <w:jc w:val="both"/>
              <w:textAlignment w:val="auto"/>
              <w:rPr>
                <w:rFonts w:hint="eastAsia" w:ascii="Times New Roman" w:hAnsi="Times New Roman" w:eastAsia="宋体" w:cs="Times New Roman"/>
                <w:snapToGrid/>
                <w:color w:val="FF0000"/>
                <w:kern w:val="0"/>
                <w:sz w:val="24"/>
                <w:szCs w:val="24"/>
                <w:lang w:val="en-US" w:eastAsia="zh-CN" w:bidi="ar-SA"/>
              </w:rPr>
            </w:pPr>
          </w:p>
          <w:p w14:paraId="27FEEFC7">
            <w:pPr>
              <w:widowControl w:val="0"/>
              <w:kinsoku/>
              <w:adjustRightInd/>
              <w:snapToGrid/>
              <w:spacing w:line="360" w:lineRule="auto"/>
              <w:ind w:firstLine="480" w:firstLineChars="200"/>
              <w:jc w:val="both"/>
              <w:textAlignment w:val="auto"/>
              <w:rPr>
                <w:rFonts w:hint="eastAsia" w:ascii="Times New Roman" w:hAnsi="Times New Roman" w:eastAsia="宋体" w:cs="Times New Roman"/>
                <w:snapToGrid/>
                <w:color w:val="FF0000"/>
                <w:kern w:val="0"/>
                <w:sz w:val="24"/>
                <w:szCs w:val="24"/>
                <w:lang w:val="en-US" w:eastAsia="zh-CN" w:bidi="ar-SA"/>
              </w:rPr>
            </w:pPr>
          </w:p>
          <w:p w14:paraId="50AE1AF3">
            <w:pPr>
              <w:widowControl w:val="0"/>
              <w:kinsoku/>
              <w:adjustRightInd/>
              <w:snapToGrid/>
              <w:spacing w:line="360" w:lineRule="auto"/>
              <w:ind w:firstLine="480" w:firstLineChars="200"/>
              <w:jc w:val="both"/>
              <w:textAlignment w:val="auto"/>
              <w:rPr>
                <w:rFonts w:hint="eastAsia" w:ascii="Times New Roman" w:hAnsi="Times New Roman" w:eastAsia="宋体" w:cs="Times New Roman"/>
                <w:snapToGrid/>
                <w:color w:val="FF0000"/>
                <w:kern w:val="0"/>
                <w:sz w:val="24"/>
                <w:szCs w:val="24"/>
                <w:lang w:val="en-US" w:eastAsia="zh-CN" w:bidi="ar-SA"/>
              </w:rPr>
            </w:pPr>
          </w:p>
          <w:p w14:paraId="36661FE2">
            <w:pPr>
              <w:widowControl w:val="0"/>
              <w:kinsoku/>
              <w:adjustRightInd/>
              <w:snapToGrid/>
              <w:spacing w:line="360" w:lineRule="auto"/>
              <w:ind w:firstLine="480" w:firstLineChars="200"/>
              <w:jc w:val="both"/>
              <w:textAlignment w:val="auto"/>
              <w:rPr>
                <w:rFonts w:hint="eastAsia" w:ascii="Times New Roman" w:hAnsi="Times New Roman" w:eastAsia="宋体" w:cs="Times New Roman"/>
                <w:snapToGrid/>
                <w:color w:val="FF0000"/>
                <w:kern w:val="0"/>
                <w:sz w:val="24"/>
                <w:szCs w:val="24"/>
                <w:lang w:val="en-US" w:eastAsia="zh-CN" w:bidi="ar-SA"/>
              </w:rPr>
            </w:pPr>
          </w:p>
          <w:p w14:paraId="31DBBC1B">
            <w:pPr>
              <w:widowControl w:val="0"/>
              <w:kinsoku/>
              <w:adjustRightInd/>
              <w:snapToGrid/>
              <w:spacing w:line="360" w:lineRule="auto"/>
              <w:ind w:firstLine="480" w:firstLineChars="200"/>
              <w:jc w:val="both"/>
              <w:textAlignment w:val="auto"/>
              <w:rPr>
                <w:rFonts w:hint="eastAsia" w:ascii="Times New Roman" w:hAnsi="Times New Roman" w:eastAsia="宋体" w:cs="Times New Roman"/>
                <w:snapToGrid/>
                <w:color w:val="FF0000"/>
                <w:kern w:val="0"/>
                <w:sz w:val="24"/>
                <w:szCs w:val="24"/>
                <w:lang w:val="en-US" w:eastAsia="zh-CN" w:bidi="ar-SA"/>
              </w:rPr>
            </w:pPr>
          </w:p>
          <w:p w14:paraId="7F99FF51">
            <w:pPr>
              <w:widowControl w:val="0"/>
              <w:kinsoku/>
              <w:adjustRightInd/>
              <w:snapToGrid/>
              <w:spacing w:line="360" w:lineRule="auto"/>
              <w:ind w:firstLine="480" w:firstLineChars="200"/>
              <w:jc w:val="both"/>
              <w:textAlignment w:val="auto"/>
              <w:rPr>
                <w:rFonts w:hint="eastAsia" w:ascii="Times New Roman" w:hAnsi="Times New Roman" w:eastAsia="宋体" w:cs="Times New Roman"/>
                <w:snapToGrid/>
                <w:color w:val="FF0000"/>
                <w:kern w:val="0"/>
                <w:sz w:val="24"/>
                <w:szCs w:val="24"/>
                <w:lang w:val="en-US" w:eastAsia="zh-CN" w:bidi="ar-SA"/>
              </w:rPr>
            </w:pPr>
          </w:p>
          <w:p w14:paraId="1B5513CF">
            <w:pPr>
              <w:widowControl w:val="0"/>
              <w:kinsoku/>
              <w:adjustRightInd/>
              <w:snapToGrid/>
              <w:spacing w:line="360" w:lineRule="auto"/>
              <w:jc w:val="both"/>
              <w:textAlignment w:val="auto"/>
              <w:rPr>
                <w:rFonts w:hint="default" w:ascii="Times New Roman" w:hAnsi="Times New Roman" w:eastAsia="宋体" w:cs="Times New Roman"/>
                <w:snapToGrid/>
                <w:kern w:val="0"/>
                <w:sz w:val="24"/>
                <w:szCs w:val="24"/>
                <w:lang w:val="en-US" w:eastAsia="zh-CN" w:bidi="ar-SA"/>
              </w:rPr>
            </w:pPr>
          </w:p>
          <w:p w14:paraId="33E1494F">
            <w:pPr>
              <w:pStyle w:val="11"/>
              <w:ind w:left="0" w:leftChars="0" w:firstLine="0" w:firstLineChars="0"/>
              <w:rPr>
                <w:rFonts w:ascii="Times New Roman" w:hAnsi="Times New Roman" w:cs="Times New Roman"/>
                <w:sz w:val="24"/>
                <w:szCs w:val="24"/>
                <w:lang w:eastAsia="zh-CN"/>
              </w:rPr>
            </w:pPr>
          </w:p>
          <w:p w14:paraId="4EE9180D">
            <w:pPr>
              <w:rPr>
                <w:rFonts w:ascii="Times New Roman" w:hAnsi="Times New Roman" w:cs="Times New Roman"/>
                <w:sz w:val="24"/>
                <w:szCs w:val="24"/>
                <w:lang w:eastAsia="zh-CN"/>
              </w:rPr>
            </w:pPr>
          </w:p>
          <w:p w14:paraId="29CC035F">
            <w:pPr>
              <w:spacing w:line="360" w:lineRule="auto"/>
              <w:jc w:val="both"/>
              <w:rPr>
                <w:rFonts w:hint="default" w:ascii="Times New Roman" w:hAnsi="Times New Roman" w:eastAsia="宋体" w:cs="Times New Roman"/>
                <w:snapToGrid/>
                <w:color w:val="000000"/>
                <w:kern w:val="0"/>
                <w:sz w:val="24"/>
                <w:szCs w:val="24"/>
                <w:lang w:val="en-US" w:eastAsia="zh-CN" w:bidi="ar-SA"/>
              </w:rPr>
            </w:pPr>
          </w:p>
        </w:tc>
      </w:tr>
    </w:tbl>
    <w:p w14:paraId="7CDE9185">
      <w:pPr>
        <w:widowControl/>
        <w:kinsoku/>
        <w:autoSpaceDE/>
        <w:autoSpaceDN/>
        <w:adjustRightInd/>
        <w:snapToGrid/>
        <w:spacing w:line="240" w:lineRule="auto"/>
        <w:jc w:val="center"/>
        <w:textAlignment w:val="auto"/>
        <w:rPr>
          <w:rFonts w:hint="eastAsia" w:ascii="Times New Roman" w:hAnsi="Times New Roman" w:eastAsia="宋体" w:cs="Times New Roman"/>
          <w:snapToGrid/>
          <w:color w:val="000000"/>
          <w:kern w:val="0"/>
          <w:sz w:val="21"/>
          <w:szCs w:val="21"/>
          <w:lang w:val="en-US" w:eastAsia="zh-CN" w:bidi="ar-SA"/>
        </w:rPr>
      </w:pPr>
    </w:p>
    <w:p w14:paraId="627198AA">
      <w:pPr>
        <w:sectPr>
          <w:footerReference r:id="rId5" w:type="default"/>
          <w:pgSz w:w="11905" w:h="16838"/>
          <w:pgMar w:top="1440" w:right="1803" w:bottom="1440" w:left="1803" w:header="1457" w:footer="992" w:gutter="0"/>
          <w:pgBorders>
            <w:top w:val="none" w:sz="0" w:space="0"/>
            <w:left w:val="none" w:sz="0" w:space="0"/>
            <w:bottom w:val="none" w:sz="0" w:space="0"/>
            <w:right w:val="none" w:sz="0" w:space="0"/>
          </w:pgBorders>
          <w:pgNumType w:fmt="decimal" w:start="1"/>
          <w:cols w:space="0" w:num="1"/>
          <w:rtlGutter w:val="0"/>
          <w:docGrid w:linePitch="0" w:charSpace="0"/>
        </w:sectPr>
      </w:pPr>
    </w:p>
    <w:p w14:paraId="6CF0E88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snapToGrid/>
          <w:color w:val="000000"/>
          <w:kern w:val="0"/>
          <w:sz w:val="28"/>
          <w:szCs w:val="28"/>
          <w:lang w:val="en-US" w:eastAsia="zh-CN" w:bidi="ar-SA"/>
        </w:rPr>
      </w:pPr>
      <w:r>
        <w:rPr>
          <w:rFonts w:hint="eastAsia" w:ascii="黑体" w:hAnsi="黑体" w:eastAsia="黑体" w:cs="黑体"/>
          <w:b/>
          <w:bCs/>
          <w:snapToGrid/>
          <w:color w:val="000000"/>
          <w:kern w:val="0"/>
          <w:sz w:val="28"/>
          <w:szCs w:val="28"/>
          <w:lang w:val="en-US" w:eastAsia="zh-CN" w:bidi="ar-SA"/>
        </w:rPr>
        <w:t>表2调查范围、环境监测因子、敏感目标、调查重点</w:t>
      </w:r>
    </w:p>
    <w:p w14:paraId="20B4C29C">
      <w:pPr>
        <w:spacing w:line="109" w:lineRule="auto"/>
        <w:rPr>
          <w:rFonts w:ascii="Arial"/>
          <w:sz w:val="2"/>
        </w:rPr>
      </w:pPr>
    </w:p>
    <w:tbl>
      <w:tblPr>
        <w:tblStyle w:val="16"/>
        <w:tblW w:w="5000"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8329"/>
      </w:tblGrid>
      <w:tr w14:paraId="7809324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15" w:hRule="atLeast"/>
          <w:jc w:val="center"/>
        </w:trPr>
        <w:tc>
          <w:tcPr>
            <w:tcW w:w="5000" w:type="pct"/>
            <w:tcBorders>
              <w:tl2br w:val="nil"/>
              <w:tr2bl w:val="nil"/>
            </w:tcBorders>
            <w:vAlign w:val="top"/>
          </w:tcPr>
          <w:p w14:paraId="127FA182">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调查范围</w:t>
            </w:r>
          </w:p>
          <w:p w14:paraId="0FCEDCE6">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根据《建设项目竣工环境保护验收技术规范-输变电》</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HJ705-20</w:t>
            </w:r>
            <w:r>
              <w:rPr>
                <w:rFonts w:hint="eastAsia" w:ascii="Times New Roman" w:hAnsi="Times New Roman" w:eastAsia="宋体" w:cs="Times New Roman"/>
                <w:snapToGrid/>
                <w:color w:val="000000"/>
                <w:kern w:val="0"/>
                <w:sz w:val="24"/>
                <w:szCs w:val="24"/>
                <w:lang w:val="en-US" w:eastAsia="zh-CN" w:bidi="ar-SA"/>
              </w:rPr>
              <w:t>20），</w:t>
            </w:r>
            <w:r>
              <w:rPr>
                <w:rFonts w:hint="default" w:ascii="Times New Roman" w:hAnsi="Times New Roman" w:eastAsia="宋体" w:cs="Times New Roman"/>
                <w:snapToGrid/>
                <w:color w:val="000000"/>
                <w:kern w:val="0"/>
                <w:sz w:val="24"/>
                <w:szCs w:val="24"/>
                <w:lang w:val="en-US" w:eastAsia="zh-CN" w:bidi="ar-SA"/>
              </w:rPr>
              <w:t>本工程调查范围原则上与环境影响评价文件的评价范围相一致</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并根据工程实际环境影响情况</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结合《建设项目竣工环境保护验收技术规范-输变电》</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HJ705-20</w:t>
            </w:r>
            <w:r>
              <w:rPr>
                <w:rFonts w:hint="eastAsia" w:ascii="Times New Roman" w:hAnsi="Times New Roman" w:eastAsia="宋体" w:cs="Times New Roman"/>
                <w:snapToGrid/>
                <w:color w:val="000000"/>
                <w:kern w:val="0"/>
                <w:sz w:val="24"/>
                <w:szCs w:val="24"/>
                <w:lang w:val="en-US" w:eastAsia="zh-CN" w:bidi="ar-SA"/>
              </w:rPr>
              <w:t>20）</w:t>
            </w:r>
            <w:r>
              <w:rPr>
                <w:rFonts w:hint="default" w:ascii="Times New Roman" w:hAnsi="Times New Roman" w:eastAsia="宋体" w:cs="Times New Roman"/>
                <w:snapToGrid/>
                <w:color w:val="000000"/>
                <w:kern w:val="0"/>
                <w:sz w:val="24"/>
                <w:szCs w:val="24"/>
                <w:lang w:val="en-US" w:eastAsia="zh-CN" w:bidi="ar-SA"/>
              </w:rPr>
              <w:t>和现场踏勘进行了适当调整。本项目的环境影响评价范围和见表2</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1</w:t>
            </w:r>
            <w:r>
              <w:rPr>
                <w:rFonts w:hint="eastAsia" w:ascii="Times New Roman" w:hAnsi="Times New Roman" w:eastAsia="宋体" w:cs="Times New Roman"/>
                <w:snapToGrid/>
                <w:color w:val="000000"/>
                <w:kern w:val="0"/>
                <w:sz w:val="24"/>
                <w:szCs w:val="24"/>
                <w:lang w:val="en-US" w:eastAsia="zh-CN" w:bidi="ar-SA"/>
              </w:rPr>
              <w:t>：</w:t>
            </w:r>
          </w:p>
          <w:p w14:paraId="1727C4A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b/>
                <w:bCs/>
                <w:snapToGrid/>
                <w:color w:val="000000"/>
                <w:kern w:val="0"/>
                <w:sz w:val="24"/>
                <w:szCs w:val="24"/>
                <w:lang w:val="en-US" w:eastAsia="zh-CN" w:bidi="ar-SA"/>
              </w:rPr>
              <w:t>表2.1调查项目及范围</w:t>
            </w:r>
          </w:p>
          <w:tbl>
            <w:tblPr>
              <w:tblStyle w:val="1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5"/>
              <w:gridCol w:w="2662"/>
              <w:gridCol w:w="2588"/>
              <w:gridCol w:w="941"/>
            </w:tblGrid>
            <w:tr w14:paraId="1CC40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4" w:type="pct"/>
                  <w:vAlign w:val="center"/>
                </w:tcPr>
                <w:p w14:paraId="6DF3F16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snapToGrid/>
                      <w:color w:val="000000"/>
                      <w:kern w:val="0"/>
                      <w:sz w:val="21"/>
                      <w:szCs w:val="21"/>
                      <w:vertAlign w:val="baseline"/>
                      <w:lang w:val="en-US" w:eastAsia="zh-CN" w:bidi="ar-SA"/>
                    </w:rPr>
                  </w:pPr>
                  <w:r>
                    <w:rPr>
                      <w:rFonts w:hint="eastAsia" w:ascii="Times New Roman" w:hAnsi="Times New Roman" w:eastAsia="宋体" w:cs="Times New Roman"/>
                      <w:b/>
                      <w:bCs/>
                      <w:snapToGrid/>
                      <w:color w:val="000000"/>
                      <w:kern w:val="0"/>
                      <w:sz w:val="21"/>
                      <w:szCs w:val="21"/>
                      <w:vertAlign w:val="baseline"/>
                      <w:lang w:val="en-US" w:eastAsia="zh-CN" w:bidi="ar-SA"/>
                    </w:rPr>
                    <w:t>调查项目</w:t>
                  </w:r>
                </w:p>
              </w:tc>
              <w:tc>
                <w:tcPr>
                  <w:tcW w:w="1606" w:type="pct"/>
                  <w:vAlign w:val="center"/>
                </w:tcPr>
                <w:p w14:paraId="395E7E3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snapToGrid/>
                      <w:color w:val="000000"/>
                      <w:kern w:val="0"/>
                      <w:sz w:val="21"/>
                      <w:szCs w:val="21"/>
                      <w:vertAlign w:val="baseline"/>
                      <w:lang w:val="en-US" w:eastAsia="zh-CN" w:bidi="ar-SA"/>
                    </w:rPr>
                  </w:pPr>
                  <w:r>
                    <w:rPr>
                      <w:rFonts w:hint="eastAsia" w:ascii="Times New Roman" w:hAnsi="Times New Roman" w:eastAsia="宋体" w:cs="Times New Roman"/>
                      <w:b/>
                      <w:bCs/>
                      <w:snapToGrid/>
                      <w:color w:val="000000"/>
                      <w:kern w:val="0"/>
                      <w:sz w:val="21"/>
                      <w:szCs w:val="21"/>
                      <w:vertAlign w:val="baseline"/>
                      <w:lang w:val="en-US" w:eastAsia="zh-CN" w:bidi="ar-SA"/>
                    </w:rPr>
                    <w:t>环评影响评价范围</w:t>
                  </w:r>
                </w:p>
              </w:tc>
              <w:tc>
                <w:tcPr>
                  <w:tcW w:w="1561" w:type="pct"/>
                  <w:vAlign w:val="center"/>
                </w:tcPr>
                <w:p w14:paraId="3010185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snapToGrid/>
                      <w:color w:val="000000"/>
                      <w:kern w:val="0"/>
                      <w:sz w:val="21"/>
                      <w:szCs w:val="21"/>
                      <w:vertAlign w:val="baseline"/>
                      <w:lang w:val="en-US" w:eastAsia="zh-CN" w:bidi="ar-SA"/>
                    </w:rPr>
                  </w:pPr>
                  <w:r>
                    <w:rPr>
                      <w:rFonts w:hint="eastAsia" w:ascii="Times New Roman" w:hAnsi="Times New Roman" w:eastAsia="宋体" w:cs="Times New Roman"/>
                      <w:b/>
                      <w:bCs/>
                      <w:snapToGrid/>
                      <w:color w:val="000000"/>
                      <w:kern w:val="0"/>
                      <w:sz w:val="21"/>
                      <w:szCs w:val="21"/>
                      <w:vertAlign w:val="baseline"/>
                      <w:lang w:val="en-US" w:eastAsia="zh-CN" w:bidi="ar-SA"/>
                    </w:rPr>
                    <w:t>验收调查范围</w:t>
                  </w:r>
                </w:p>
              </w:tc>
              <w:tc>
                <w:tcPr>
                  <w:tcW w:w="567" w:type="pct"/>
                  <w:vAlign w:val="center"/>
                </w:tcPr>
                <w:p w14:paraId="34CA34F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snapToGrid/>
                      <w:color w:val="000000"/>
                      <w:kern w:val="0"/>
                      <w:sz w:val="21"/>
                      <w:szCs w:val="21"/>
                      <w:vertAlign w:val="baseline"/>
                      <w:lang w:val="en-US" w:eastAsia="zh-CN" w:bidi="ar-SA"/>
                    </w:rPr>
                  </w:pPr>
                  <w:r>
                    <w:rPr>
                      <w:rFonts w:hint="eastAsia" w:ascii="Times New Roman" w:hAnsi="Times New Roman" w:eastAsia="宋体" w:cs="Times New Roman"/>
                      <w:b/>
                      <w:bCs/>
                      <w:snapToGrid/>
                      <w:color w:val="000000"/>
                      <w:kern w:val="0"/>
                      <w:sz w:val="21"/>
                      <w:szCs w:val="21"/>
                      <w:vertAlign w:val="baseline"/>
                      <w:lang w:val="en-US" w:eastAsia="zh-CN" w:bidi="ar-SA"/>
                    </w:rPr>
                    <w:t>变化</w:t>
                  </w:r>
                </w:p>
              </w:tc>
            </w:tr>
            <w:tr w14:paraId="42ECF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4" w:type="pct"/>
                  <w:vAlign w:val="center"/>
                </w:tcPr>
                <w:p w14:paraId="4465457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kern w:val="0"/>
                      <w:sz w:val="21"/>
                      <w:szCs w:val="21"/>
                      <w:vertAlign w:val="baseline"/>
                      <w:lang w:val="en-US" w:eastAsia="zh-CN" w:bidi="ar-SA"/>
                    </w:rPr>
                  </w:pPr>
                  <w:r>
                    <w:rPr>
                      <w:rFonts w:hint="eastAsia" w:ascii="Times New Roman" w:hAnsi="Times New Roman" w:eastAsia="宋体" w:cs="Times New Roman"/>
                      <w:snapToGrid/>
                      <w:color w:val="000000"/>
                      <w:kern w:val="0"/>
                      <w:sz w:val="21"/>
                      <w:szCs w:val="21"/>
                      <w:vertAlign w:val="baseline"/>
                      <w:lang w:val="en-US" w:eastAsia="zh-CN" w:bidi="ar-SA"/>
                    </w:rPr>
                    <w:t>电磁环境（工频电场、工频磁场）</w:t>
                  </w:r>
                </w:p>
              </w:tc>
              <w:tc>
                <w:tcPr>
                  <w:tcW w:w="1606" w:type="pct"/>
                  <w:vAlign w:val="center"/>
                </w:tcPr>
                <w:p w14:paraId="41B926E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kern w:val="0"/>
                      <w:sz w:val="21"/>
                      <w:szCs w:val="21"/>
                      <w:vertAlign w:val="baseline"/>
                      <w:lang w:val="en-US" w:eastAsia="zh-CN" w:bidi="ar-SA"/>
                    </w:rPr>
                  </w:pPr>
                  <w:r>
                    <w:rPr>
                      <w:rFonts w:hint="eastAsia" w:ascii="Times New Roman" w:hAnsi="Times New Roman" w:eastAsia="宋体" w:cs="Times New Roman"/>
                      <w:snapToGrid/>
                      <w:color w:val="000000"/>
                      <w:kern w:val="0"/>
                      <w:sz w:val="21"/>
                      <w:szCs w:val="21"/>
                      <w:vertAlign w:val="baseline"/>
                      <w:lang w:val="en-US" w:eastAsia="zh-CN" w:bidi="ar-SA"/>
                    </w:rPr>
                    <w:t>站界外30m范围内的区域</w:t>
                  </w:r>
                </w:p>
              </w:tc>
              <w:tc>
                <w:tcPr>
                  <w:tcW w:w="1561" w:type="pct"/>
                  <w:vAlign w:val="center"/>
                </w:tcPr>
                <w:p w14:paraId="7D61F5E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kern w:val="0"/>
                      <w:sz w:val="21"/>
                      <w:szCs w:val="21"/>
                      <w:vertAlign w:val="baseline"/>
                      <w:lang w:val="en-US" w:eastAsia="zh-CN" w:bidi="ar-SA"/>
                    </w:rPr>
                  </w:pPr>
                  <w:r>
                    <w:rPr>
                      <w:rFonts w:hint="eastAsia" w:ascii="Times New Roman" w:hAnsi="Times New Roman" w:eastAsia="宋体" w:cs="Times New Roman"/>
                      <w:snapToGrid/>
                      <w:color w:val="000000"/>
                      <w:kern w:val="0"/>
                      <w:sz w:val="21"/>
                      <w:szCs w:val="21"/>
                      <w:vertAlign w:val="baseline"/>
                      <w:lang w:val="en-US" w:eastAsia="zh-CN" w:bidi="ar-SA"/>
                    </w:rPr>
                    <w:t>站界外30m范围内的区域</w:t>
                  </w:r>
                </w:p>
              </w:tc>
              <w:tc>
                <w:tcPr>
                  <w:tcW w:w="567" w:type="pct"/>
                  <w:vAlign w:val="center"/>
                </w:tcPr>
                <w:p w14:paraId="5EE4525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kern w:val="0"/>
                      <w:sz w:val="21"/>
                      <w:szCs w:val="21"/>
                      <w:vertAlign w:val="baseline"/>
                      <w:lang w:val="en-US" w:eastAsia="zh-CN" w:bidi="ar-SA"/>
                    </w:rPr>
                  </w:pPr>
                  <w:r>
                    <w:rPr>
                      <w:rFonts w:hint="eastAsia" w:ascii="Times New Roman" w:hAnsi="Times New Roman" w:eastAsia="宋体" w:cs="Times New Roman"/>
                      <w:snapToGrid/>
                      <w:color w:val="000000"/>
                      <w:kern w:val="0"/>
                      <w:sz w:val="21"/>
                      <w:szCs w:val="21"/>
                      <w:vertAlign w:val="baseline"/>
                      <w:lang w:val="en-US" w:eastAsia="zh-CN" w:bidi="ar-SA"/>
                    </w:rPr>
                    <w:t>无变化</w:t>
                  </w:r>
                </w:p>
              </w:tc>
            </w:tr>
            <w:tr w14:paraId="5FCCE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4" w:type="pct"/>
                  <w:vAlign w:val="center"/>
                </w:tcPr>
                <w:p w14:paraId="467BDFC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eastAsia" w:ascii="Times New Roman" w:hAnsi="Times New Roman" w:eastAsia="宋体" w:cs="Times New Roman"/>
                      <w:snapToGrid/>
                      <w:color w:val="000000"/>
                      <w:kern w:val="0"/>
                      <w:sz w:val="21"/>
                      <w:szCs w:val="21"/>
                      <w:vertAlign w:val="baseline"/>
                      <w:lang w:val="en-US" w:eastAsia="zh-CN" w:bidi="ar-SA"/>
                    </w:rPr>
                    <w:t>生态环境</w:t>
                  </w:r>
                </w:p>
              </w:tc>
              <w:tc>
                <w:tcPr>
                  <w:tcW w:w="1606" w:type="pct"/>
                  <w:vAlign w:val="center"/>
                </w:tcPr>
                <w:p w14:paraId="1884D197">
                  <w:pPr>
                    <w:pStyle w:val="17"/>
                    <w:keepNext w:val="0"/>
                    <w:keepLines w:val="0"/>
                    <w:pageBreakBefore w:val="0"/>
                    <w:widowControl/>
                    <w:kinsoku w:val="0"/>
                    <w:wordWrap/>
                    <w:overflowPunct/>
                    <w:topLinePunct w:val="0"/>
                    <w:autoSpaceDE w:val="0"/>
                    <w:autoSpaceDN w:val="0"/>
                    <w:bidi w:val="0"/>
                    <w:adjustRightInd/>
                    <w:snapToGrid/>
                    <w:ind w:right="0"/>
                    <w:jc w:val="center"/>
                    <w:textAlignment w:val="baseline"/>
                    <w:rPr>
                      <w:rFonts w:hint="default" w:ascii="Times New Roman" w:hAnsi="Times New Roman" w:eastAsia="宋体" w:cs="Times New Roman"/>
                      <w:snapToGrid/>
                      <w:color w:val="000000"/>
                      <w:kern w:val="0"/>
                      <w:sz w:val="21"/>
                      <w:szCs w:val="21"/>
                      <w:vertAlign w:val="baseline"/>
                      <w:lang w:val="en-US" w:eastAsia="zh-CN" w:bidi="ar-SA"/>
                    </w:rPr>
                  </w:pPr>
                  <w:r>
                    <w:rPr>
                      <w:rFonts w:hint="eastAsia" w:ascii="Times New Roman" w:hAnsi="Times New Roman" w:cs="Times New Roman"/>
                      <w:snapToGrid/>
                      <w:color w:val="000000"/>
                      <w:kern w:val="0"/>
                      <w:sz w:val="21"/>
                      <w:szCs w:val="21"/>
                      <w:vertAlign w:val="baseline"/>
                      <w:lang w:val="en-US" w:eastAsia="zh-CN" w:bidi="ar-SA"/>
                    </w:rPr>
                    <w:t>站场边界或围墙外500m内</w:t>
                  </w:r>
                </w:p>
              </w:tc>
              <w:tc>
                <w:tcPr>
                  <w:tcW w:w="1561" w:type="pct"/>
                  <w:vAlign w:val="center"/>
                </w:tcPr>
                <w:p w14:paraId="53C747B8">
                  <w:pPr>
                    <w:pStyle w:val="17"/>
                    <w:keepNext w:val="0"/>
                    <w:keepLines w:val="0"/>
                    <w:pageBreakBefore w:val="0"/>
                    <w:widowControl/>
                    <w:kinsoku w:val="0"/>
                    <w:wordWrap/>
                    <w:overflowPunct/>
                    <w:topLinePunct w:val="0"/>
                    <w:autoSpaceDE w:val="0"/>
                    <w:autoSpaceDN w:val="0"/>
                    <w:bidi w:val="0"/>
                    <w:adjustRightInd/>
                    <w:snapToGrid/>
                    <w:ind w:right="0" w:rightChars="0"/>
                    <w:jc w:val="center"/>
                    <w:textAlignment w:val="baseline"/>
                    <w:rPr>
                      <w:rFonts w:hint="eastAsia" w:ascii="Times New Roman" w:hAnsi="Times New Roman" w:cs="Times New Roman"/>
                      <w:snapToGrid/>
                      <w:color w:val="000000"/>
                      <w:kern w:val="0"/>
                      <w:sz w:val="21"/>
                      <w:szCs w:val="21"/>
                      <w:vertAlign w:val="baseline"/>
                      <w:lang w:val="en-US" w:eastAsia="zh-CN" w:bidi="ar-SA"/>
                    </w:rPr>
                  </w:pPr>
                  <w:r>
                    <w:rPr>
                      <w:rFonts w:hint="eastAsia" w:ascii="Times New Roman" w:hAnsi="Times New Roman" w:cs="Times New Roman"/>
                      <w:snapToGrid/>
                      <w:color w:val="000000"/>
                      <w:kern w:val="0"/>
                      <w:sz w:val="21"/>
                      <w:szCs w:val="21"/>
                      <w:vertAlign w:val="baseline"/>
                      <w:lang w:val="en-US" w:eastAsia="zh-CN" w:bidi="ar-SA"/>
                    </w:rPr>
                    <w:t>站场边界或围墙外500m内</w:t>
                  </w:r>
                </w:p>
              </w:tc>
              <w:tc>
                <w:tcPr>
                  <w:tcW w:w="567" w:type="pct"/>
                  <w:vAlign w:val="center"/>
                </w:tcPr>
                <w:p w14:paraId="6F9BA95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kern w:val="0"/>
                      <w:sz w:val="21"/>
                      <w:szCs w:val="21"/>
                      <w:vertAlign w:val="baseline"/>
                      <w:lang w:val="en-US" w:eastAsia="zh-CN" w:bidi="ar-SA"/>
                    </w:rPr>
                  </w:pPr>
                  <w:r>
                    <w:rPr>
                      <w:rFonts w:hint="eastAsia" w:ascii="Times New Roman" w:hAnsi="Times New Roman" w:eastAsia="宋体" w:cs="Times New Roman"/>
                      <w:snapToGrid/>
                      <w:color w:val="000000"/>
                      <w:kern w:val="0"/>
                      <w:sz w:val="21"/>
                      <w:szCs w:val="21"/>
                      <w:vertAlign w:val="baseline"/>
                      <w:lang w:val="en-US" w:eastAsia="zh-CN" w:bidi="ar-SA"/>
                    </w:rPr>
                    <w:t>无变化</w:t>
                  </w:r>
                </w:p>
              </w:tc>
            </w:tr>
            <w:tr w14:paraId="2DB8B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4" w:type="pct"/>
                  <w:vAlign w:val="center"/>
                </w:tcPr>
                <w:p w14:paraId="7C0F1F2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eastAsia" w:ascii="Times New Roman" w:hAnsi="Times New Roman" w:eastAsia="宋体" w:cs="Times New Roman"/>
                      <w:snapToGrid/>
                      <w:color w:val="000000"/>
                      <w:kern w:val="0"/>
                      <w:sz w:val="21"/>
                      <w:szCs w:val="21"/>
                      <w:vertAlign w:val="baseline"/>
                      <w:lang w:val="en-US" w:eastAsia="zh-CN" w:bidi="ar-SA"/>
                    </w:rPr>
                    <w:t>声环境</w:t>
                  </w:r>
                </w:p>
              </w:tc>
              <w:tc>
                <w:tcPr>
                  <w:tcW w:w="1606" w:type="pct"/>
                  <w:vAlign w:val="center"/>
                </w:tcPr>
                <w:p w14:paraId="06CA804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kern w:val="0"/>
                      <w:sz w:val="21"/>
                      <w:szCs w:val="21"/>
                      <w:vertAlign w:val="baseline"/>
                      <w:lang w:val="en-US" w:eastAsia="zh-CN" w:bidi="ar-SA"/>
                    </w:rPr>
                  </w:pPr>
                  <w:r>
                    <w:rPr>
                      <w:rFonts w:hint="eastAsia" w:ascii="Times New Roman" w:hAnsi="Times New Roman" w:eastAsia="宋体" w:cs="Times New Roman"/>
                      <w:snapToGrid/>
                      <w:color w:val="000000"/>
                      <w:kern w:val="0"/>
                      <w:sz w:val="21"/>
                      <w:szCs w:val="21"/>
                      <w:vertAlign w:val="baseline"/>
                      <w:lang w:val="en-US" w:eastAsia="zh-CN" w:bidi="ar-SA"/>
                    </w:rPr>
                    <w:t>升压站及周边200m范围</w:t>
                  </w:r>
                </w:p>
              </w:tc>
              <w:tc>
                <w:tcPr>
                  <w:tcW w:w="1561" w:type="pct"/>
                  <w:vAlign w:val="center"/>
                </w:tcPr>
                <w:p w14:paraId="2F95A9F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kern w:val="0"/>
                      <w:sz w:val="21"/>
                      <w:szCs w:val="21"/>
                      <w:vertAlign w:val="baseline"/>
                      <w:lang w:val="en-US" w:eastAsia="zh-CN" w:bidi="ar-SA"/>
                    </w:rPr>
                  </w:pPr>
                  <w:r>
                    <w:rPr>
                      <w:rFonts w:hint="eastAsia" w:ascii="Times New Roman" w:hAnsi="Times New Roman" w:eastAsia="宋体" w:cs="Times New Roman"/>
                      <w:snapToGrid/>
                      <w:color w:val="000000"/>
                      <w:kern w:val="0"/>
                      <w:sz w:val="21"/>
                      <w:szCs w:val="21"/>
                      <w:vertAlign w:val="baseline"/>
                      <w:lang w:val="en-US" w:eastAsia="zh-CN" w:bidi="ar-SA"/>
                    </w:rPr>
                    <w:t>升压站及周边200m范围</w:t>
                  </w:r>
                </w:p>
              </w:tc>
              <w:tc>
                <w:tcPr>
                  <w:tcW w:w="567" w:type="pct"/>
                  <w:vAlign w:val="center"/>
                </w:tcPr>
                <w:p w14:paraId="05949EF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kern w:val="0"/>
                      <w:sz w:val="21"/>
                      <w:szCs w:val="21"/>
                      <w:vertAlign w:val="baseline"/>
                      <w:lang w:val="en-US" w:eastAsia="zh-CN" w:bidi="ar-SA"/>
                    </w:rPr>
                  </w:pPr>
                  <w:r>
                    <w:rPr>
                      <w:rFonts w:hint="eastAsia" w:ascii="Times New Roman" w:hAnsi="Times New Roman" w:eastAsia="宋体" w:cs="Times New Roman"/>
                      <w:snapToGrid/>
                      <w:color w:val="000000"/>
                      <w:kern w:val="0"/>
                      <w:sz w:val="21"/>
                      <w:szCs w:val="21"/>
                      <w:vertAlign w:val="baseline"/>
                      <w:lang w:val="en-US" w:eastAsia="zh-CN" w:bidi="ar-SA"/>
                    </w:rPr>
                    <w:t>无变化</w:t>
                  </w:r>
                </w:p>
              </w:tc>
            </w:tr>
          </w:tbl>
          <w:p w14:paraId="73AAF4BD">
            <w:pPr>
              <w:widowControl/>
              <w:kinsoku/>
              <w:autoSpaceDE/>
              <w:autoSpaceDN/>
              <w:adjustRightInd/>
              <w:snapToGrid/>
              <w:spacing w:line="240" w:lineRule="auto"/>
              <w:jc w:val="both"/>
              <w:textAlignment w:val="auto"/>
              <w:rPr>
                <w:rFonts w:hint="default" w:ascii="Times New Roman" w:hAnsi="Times New Roman" w:eastAsia="宋体" w:cs="Times New Roman"/>
                <w:snapToGrid/>
                <w:color w:val="000000"/>
                <w:kern w:val="0"/>
                <w:sz w:val="24"/>
                <w:szCs w:val="24"/>
                <w:lang w:val="en-US" w:eastAsia="zh-CN" w:bidi="ar-SA"/>
              </w:rPr>
            </w:pPr>
          </w:p>
        </w:tc>
      </w:tr>
      <w:tr w14:paraId="1805412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52" w:hRule="atLeast"/>
          <w:jc w:val="center"/>
        </w:trPr>
        <w:tc>
          <w:tcPr>
            <w:tcW w:w="5000" w:type="pct"/>
            <w:tcBorders>
              <w:tl2br w:val="nil"/>
              <w:tr2bl w:val="nil"/>
            </w:tcBorders>
            <w:vAlign w:val="top"/>
          </w:tcPr>
          <w:p w14:paraId="4685BCD0">
            <w:pPr>
              <w:widowControl/>
              <w:kinsoku/>
              <w:autoSpaceDE/>
              <w:autoSpaceDN/>
              <w:adjustRightInd/>
              <w:snapToGrid/>
              <w:spacing w:line="360" w:lineRule="auto"/>
              <w:jc w:val="both"/>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环境监测因子</w:t>
            </w:r>
          </w:p>
          <w:p w14:paraId="0B1298BF">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auto"/>
              <w:ind w:firstLine="480" w:firstLineChars="200"/>
              <w:jc w:val="left"/>
              <w:textAlignment w:val="baseline"/>
            </w:pPr>
            <w:r>
              <w:rPr>
                <w:rFonts w:hint="eastAsia" w:ascii="宋体" w:hAnsi="宋体" w:eastAsia="宋体" w:cs="宋体"/>
                <w:snapToGrid w:val="0"/>
                <w:color w:val="000000"/>
                <w:kern w:val="0"/>
                <w:sz w:val="24"/>
                <w:szCs w:val="24"/>
                <w:lang w:val="en-US" w:eastAsia="zh-CN" w:bidi="ar"/>
              </w:rPr>
              <w:t>环评阶段中监测因子为工频电场、工频磁场和声环境。根据《建设项目竣工环境保护验收技术规范输变电》（</w:t>
            </w:r>
            <w:r>
              <w:rPr>
                <w:rFonts w:hint="default" w:ascii="Times New Roman" w:hAnsi="Times New Roman" w:eastAsia="宋体" w:cs="Times New Roman"/>
                <w:snapToGrid w:val="0"/>
                <w:color w:val="000000"/>
                <w:kern w:val="0"/>
                <w:sz w:val="24"/>
                <w:szCs w:val="24"/>
                <w:lang w:val="en-US" w:eastAsia="zh-CN" w:bidi="ar"/>
              </w:rPr>
              <w:t>HJ705-2020</w:t>
            </w:r>
            <w:r>
              <w:rPr>
                <w:rFonts w:hint="eastAsia" w:ascii="宋体" w:hAnsi="宋体" w:eastAsia="宋体" w:cs="宋体"/>
                <w:snapToGrid w:val="0"/>
                <w:color w:val="000000"/>
                <w:kern w:val="0"/>
                <w:sz w:val="24"/>
                <w:szCs w:val="24"/>
                <w:lang w:val="en-US" w:eastAsia="zh-CN" w:bidi="ar"/>
              </w:rPr>
              <w:t>）中规定的交流输电项目监测因子为工频电场、工频磁场、声环境，本次验收按照该规范执行，确定环境监测因子为：工频电场、工频磁场和环境噪声。</w:t>
            </w:r>
          </w:p>
          <w:p w14:paraId="6FB61A8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napToGrid/>
                <w:color w:val="000000"/>
                <w:kern w:val="0"/>
                <w:sz w:val="24"/>
                <w:szCs w:val="24"/>
                <w:vertAlign w:val="baseline"/>
                <w:lang w:val="en-US" w:eastAsia="zh-CN" w:bidi="ar-SA"/>
              </w:rPr>
            </w:pPr>
            <w:r>
              <w:rPr>
                <w:rFonts w:hint="eastAsia" w:ascii="Times New Roman" w:hAnsi="Times New Roman" w:eastAsia="宋体" w:cs="Times New Roman"/>
                <w:b/>
                <w:bCs/>
                <w:snapToGrid/>
                <w:color w:val="000000"/>
                <w:kern w:val="0"/>
                <w:sz w:val="24"/>
                <w:szCs w:val="24"/>
                <w:lang w:val="en-US" w:eastAsia="zh-CN" w:bidi="ar-SA"/>
              </w:rPr>
              <w:t>表2.2环境监测因子</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1"/>
              <w:gridCol w:w="1838"/>
              <w:gridCol w:w="2307"/>
              <w:gridCol w:w="2073"/>
            </w:tblGrid>
            <w:tr w14:paraId="5564C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7" w:type="pct"/>
                  <w:gridSpan w:val="2"/>
                  <w:vAlign w:val="center"/>
                </w:tcPr>
                <w:p w14:paraId="37FBCB7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snapToGrid/>
                      <w:color w:val="000000"/>
                      <w:kern w:val="0"/>
                      <w:sz w:val="21"/>
                      <w:szCs w:val="21"/>
                      <w:vertAlign w:val="baseline"/>
                      <w:lang w:val="en-US" w:eastAsia="zh-CN" w:bidi="ar-SA"/>
                    </w:rPr>
                  </w:pPr>
                  <w:r>
                    <w:rPr>
                      <w:rFonts w:hint="eastAsia" w:ascii="Times New Roman" w:hAnsi="Times New Roman" w:eastAsia="宋体" w:cs="Times New Roman"/>
                      <w:b/>
                      <w:bCs/>
                      <w:snapToGrid/>
                      <w:color w:val="000000"/>
                      <w:kern w:val="0"/>
                      <w:sz w:val="21"/>
                      <w:szCs w:val="21"/>
                      <w:vertAlign w:val="baseline"/>
                      <w:lang w:val="en-US" w:eastAsia="zh-CN" w:bidi="ar-SA"/>
                    </w:rPr>
                    <w:t>监测因子</w:t>
                  </w:r>
                </w:p>
              </w:tc>
              <w:tc>
                <w:tcPr>
                  <w:tcW w:w="1391" w:type="pct"/>
                  <w:vAlign w:val="center"/>
                </w:tcPr>
                <w:p w14:paraId="311FEFD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snapToGrid/>
                      <w:color w:val="000000"/>
                      <w:kern w:val="0"/>
                      <w:sz w:val="21"/>
                      <w:szCs w:val="21"/>
                      <w:vertAlign w:val="baseline"/>
                      <w:lang w:val="en-US" w:eastAsia="zh-CN" w:bidi="ar-SA"/>
                    </w:rPr>
                  </w:pPr>
                  <w:r>
                    <w:rPr>
                      <w:rFonts w:hint="eastAsia" w:ascii="Times New Roman" w:hAnsi="Times New Roman" w:eastAsia="宋体" w:cs="Times New Roman"/>
                      <w:b/>
                      <w:bCs/>
                      <w:snapToGrid/>
                      <w:color w:val="000000"/>
                      <w:kern w:val="0"/>
                      <w:sz w:val="21"/>
                      <w:szCs w:val="21"/>
                      <w:vertAlign w:val="baseline"/>
                      <w:lang w:val="en-US" w:eastAsia="zh-CN" w:bidi="ar-SA"/>
                    </w:rPr>
                    <w:t>单位</w:t>
                  </w:r>
                </w:p>
              </w:tc>
              <w:tc>
                <w:tcPr>
                  <w:tcW w:w="1250" w:type="pct"/>
                  <w:vAlign w:val="center"/>
                </w:tcPr>
                <w:p w14:paraId="6A2F66B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snapToGrid/>
                      <w:color w:val="000000"/>
                      <w:kern w:val="0"/>
                      <w:sz w:val="21"/>
                      <w:szCs w:val="21"/>
                      <w:vertAlign w:val="baseline"/>
                      <w:lang w:val="en-US" w:eastAsia="zh-CN" w:bidi="ar-SA"/>
                    </w:rPr>
                  </w:pPr>
                  <w:r>
                    <w:rPr>
                      <w:rFonts w:hint="eastAsia" w:ascii="Times New Roman" w:hAnsi="Times New Roman" w:eastAsia="宋体" w:cs="Times New Roman"/>
                      <w:b/>
                      <w:bCs/>
                      <w:snapToGrid/>
                      <w:color w:val="000000"/>
                      <w:kern w:val="0"/>
                      <w:sz w:val="21"/>
                      <w:szCs w:val="21"/>
                      <w:vertAlign w:val="baseline"/>
                      <w:lang w:val="en-US" w:eastAsia="zh-CN" w:bidi="ar-SA"/>
                    </w:rPr>
                    <w:t>监测指标</w:t>
                  </w:r>
                </w:p>
              </w:tc>
            </w:tr>
            <w:tr w14:paraId="24AA6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vMerge w:val="restart"/>
                  <w:vAlign w:val="center"/>
                </w:tcPr>
                <w:p w14:paraId="40B8B08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eastAsia" w:ascii="Times New Roman" w:hAnsi="Times New Roman" w:eastAsia="宋体" w:cs="Times New Roman"/>
                      <w:snapToGrid/>
                      <w:color w:val="000000"/>
                      <w:kern w:val="0"/>
                      <w:sz w:val="21"/>
                      <w:szCs w:val="21"/>
                      <w:vertAlign w:val="baseline"/>
                      <w:lang w:val="en-US" w:eastAsia="zh-CN" w:bidi="ar-SA"/>
                    </w:rPr>
                    <w:t>电磁环境</w:t>
                  </w:r>
                </w:p>
              </w:tc>
              <w:tc>
                <w:tcPr>
                  <w:tcW w:w="1108" w:type="pct"/>
                  <w:vAlign w:val="center"/>
                </w:tcPr>
                <w:p w14:paraId="14EDCAA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eastAsia" w:ascii="Times New Roman" w:hAnsi="Times New Roman" w:eastAsia="宋体" w:cs="Times New Roman"/>
                      <w:snapToGrid/>
                      <w:color w:val="000000"/>
                      <w:kern w:val="0"/>
                      <w:sz w:val="21"/>
                      <w:szCs w:val="21"/>
                      <w:vertAlign w:val="baseline"/>
                      <w:lang w:val="en-US" w:eastAsia="zh-CN" w:bidi="ar-SA"/>
                    </w:rPr>
                    <w:t>工频电场</w:t>
                  </w:r>
                </w:p>
              </w:tc>
              <w:tc>
                <w:tcPr>
                  <w:tcW w:w="1391" w:type="pct"/>
                  <w:vAlign w:val="center"/>
                </w:tcPr>
                <w:p w14:paraId="492D279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default" w:ascii="Times New Roman" w:hAnsi="Times New Roman" w:eastAsia="宋体" w:cs="Times New Roman"/>
                      <w:snapToGrid/>
                      <w:color w:val="000000"/>
                      <w:kern w:val="0"/>
                      <w:sz w:val="21"/>
                      <w:szCs w:val="21"/>
                      <w:lang w:val="en-US" w:eastAsia="zh-CN" w:bidi="ar-SA"/>
                    </w:rPr>
                    <w:t>kV/m</w:t>
                  </w:r>
                </w:p>
              </w:tc>
              <w:tc>
                <w:tcPr>
                  <w:tcW w:w="1250" w:type="pct"/>
                  <w:vAlign w:val="center"/>
                </w:tcPr>
                <w:p w14:paraId="72E1E60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default" w:ascii="Times New Roman" w:hAnsi="Times New Roman" w:eastAsia="宋体" w:cs="Times New Roman"/>
                      <w:snapToGrid/>
                      <w:color w:val="000000"/>
                      <w:kern w:val="0"/>
                      <w:sz w:val="21"/>
                      <w:szCs w:val="21"/>
                      <w:lang w:val="en-US" w:eastAsia="zh-CN" w:bidi="ar-SA"/>
                    </w:rPr>
                    <w:t>工频电场强度</w:t>
                  </w:r>
                </w:p>
              </w:tc>
            </w:tr>
            <w:tr w14:paraId="5D099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vMerge w:val="continue"/>
                  <w:vAlign w:val="center"/>
                </w:tcPr>
                <w:p w14:paraId="66742A3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kern w:val="0"/>
                      <w:sz w:val="21"/>
                      <w:szCs w:val="21"/>
                      <w:vertAlign w:val="baseline"/>
                      <w:lang w:val="en-US" w:eastAsia="zh-CN" w:bidi="ar-SA"/>
                    </w:rPr>
                  </w:pPr>
                </w:p>
              </w:tc>
              <w:tc>
                <w:tcPr>
                  <w:tcW w:w="1108" w:type="pct"/>
                  <w:vAlign w:val="center"/>
                </w:tcPr>
                <w:p w14:paraId="33A8589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eastAsia" w:ascii="Times New Roman" w:hAnsi="Times New Roman" w:eastAsia="宋体" w:cs="Times New Roman"/>
                      <w:snapToGrid/>
                      <w:color w:val="000000"/>
                      <w:kern w:val="0"/>
                      <w:sz w:val="21"/>
                      <w:szCs w:val="21"/>
                      <w:vertAlign w:val="baseline"/>
                      <w:lang w:val="en-US" w:eastAsia="zh-CN" w:bidi="ar-SA"/>
                    </w:rPr>
                    <w:t>工频磁场</w:t>
                  </w:r>
                </w:p>
              </w:tc>
              <w:tc>
                <w:tcPr>
                  <w:tcW w:w="1391" w:type="pct"/>
                  <w:vAlign w:val="center"/>
                </w:tcPr>
                <w:p w14:paraId="793AB5D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default" w:ascii="Times New Roman" w:hAnsi="Times New Roman" w:eastAsia="宋体" w:cs="Times New Roman"/>
                      <w:snapToGrid/>
                      <w:color w:val="000000"/>
                      <w:kern w:val="0"/>
                      <w:sz w:val="21"/>
                      <w:szCs w:val="21"/>
                      <w:lang w:val="en-US" w:eastAsia="zh-CN" w:bidi="ar-SA"/>
                    </w:rPr>
                    <w:t>μT</w:t>
                  </w:r>
                </w:p>
              </w:tc>
              <w:tc>
                <w:tcPr>
                  <w:tcW w:w="1250" w:type="pct"/>
                  <w:vAlign w:val="center"/>
                </w:tcPr>
                <w:p w14:paraId="011EF26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default" w:ascii="Times New Roman" w:hAnsi="Times New Roman" w:eastAsia="宋体" w:cs="Times New Roman"/>
                      <w:snapToGrid/>
                      <w:color w:val="000000"/>
                      <w:kern w:val="0"/>
                      <w:sz w:val="21"/>
                      <w:szCs w:val="21"/>
                      <w:lang w:val="en-US" w:eastAsia="zh-CN" w:bidi="ar-SA"/>
                    </w:rPr>
                    <w:t>工频磁感应强度</w:t>
                  </w:r>
                </w:p>
              </w:tc>
            </w:tr>
            <w:tr w14:paraId="6A444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vAlign w:val="center"/>
                </w:tcPr>
                <w:p w14:paraId="3CDC26A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eastAsia" w:ascii="Times New Roman" w:hAnsi="Times New Roman" w:eastAsia="宋体" w:cs="Times New Roman"/>
                      <w:snapToGrid/>
                      <w:color w:val="000000"/>
                      <w:kern w:val="0"/>
                      <w:sz w:val="21"/>
                      <w:szCs w:val="21"/>
                      <w:vertAlign w:val="baseline"/>
                      <w:lang w:val="en-US" w:eastAsia="zh-CN" w:bidi="ar-SA"/>
                    </w:rPr>
                    <w:t>声环境</w:t>
                  </w:r>
                </w:p>
              </w:tc>
              <w:tc>
                <w:tcPr>
                  <w:tcW w:w="1108" w:type="pct"/>
                  <w:vAlign w:val="center"/>
                </w:tcPr>
                <w:p w14:paraId="2C662CC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default" w:ascii="Times New Roman" w:hAnsi="Times New Roman" w:eastAsia="宋体" w:cs="Times New Roman"/>
                      <w:snapToGrid/>
                      <w:color w:val="000000"/>
                      <w:kern w:val="0"/>
                      <w:sz w:val="21"/>
                      <w:szCs w:val="21"/>
                      <w:vertAlign w:val="baseline"/>
                      <w:lang w:val="en-US" w:eastAsia="zh-CN" w:bidi="ar-SA"/>
                    </w:rPr>
                    <w:t>昼间、夜间等效声级</w:t>
                  </w:r>
                </w:p>
              </w:tc>
              <w:tc>
                <w:tcPr>
                  <w:tcW w:w="1391" w:type="pct"/>
                  <w:vAlign w:val="center"/>
                </w:tcPr>
                <w:p w14:paraId="352088D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default" w:ascii="Times New Roman" w:hAnsi="Times New Roman" w:eastAsia="宋体" w:cs="Times New Roman"/>
                      <w:snapToGrid/>
                      <w:color w:val="000000"/>
                      <w:kern w:val="0"/>
                      <w:sz w:val="21"/>
                      <w:szCs w:val="21"/>
                      <w:lang w:val="en-US" w:eastAsia="zh-CN" w:bidi="ar-SA"/>
                    </w:rPr>
                    <w:t>Leq</w:t>
                  </w:r>
                  <w:r>
                    <w:rPr>
                      <w:rFonts w:hint="eastAsia" w:ascii="Times New Roman" w:hAnsi="Times New Roman" w:eastAsia="宋体" w:cs="Times New Roman"/>
                      <w:snapToGrid/>
                      <w:color w:val="000000"/>
                      <w:kern w:val="0"/>
                      <w:sz w:val="21"/>
                      <w:szCs w:val="21"/>
                      <w:lang w:val="en-US" w:eastAsia="zh-CN" w:bidi="ar-SA"/>
                    </w:rPr>
                    <w:t>，</w:t>
                  </w:r>
                  <w:r>
                    <w:rPr>
                      <w:rFonts w:hint="default" w:ascii="Times New Roman" w:hAnsi="Times New Roman" w:eastAsia="宋体" w:cs="Times New Roman"/>
                      <w:snapToGrid/>
                      <w:color w:val="000000"/>
                      <w:kern w:val="0"/>
                      <w:sz w:val="21"/>
                      <w:szCs w:val="21"/>
                      <w:lang w:val="en-US" w:eastAsia="zh-CN" w:bidi="ar-SA"/>
                    </w:rPr>
                    <w:t>dB</w:t>
                  </w:r>
                  <w:r>
                    <w:rPr>
                      <w:rFonts w:hint="eastAsia" w:ascii="Times New Roman" w:hAnsi="Times New Roman" w:eastAsia="宋体" w:cs="Times New Roman"/>
                      <w:snapToGrid/>
                      <w:color w:val="000000"/>
                      <w:kern w:val="0"/>
                      <w:sz w:val="21"/>
                      <w:szCs w:val="21"/>
                      <w:lang w:val="en-US" w:eastAsia="zh-CN" w:bidi="ar-SA"/>
                    </w:rPr>
                    <w:t>（</w:t>
                  </w:r>
                  <w:r>
                    <w:rPr>
                      <w:rFonts w:hint="default" w:ascii="Times New Roman" w:hAnsi="Times New Roman" w:eastAsia="宋体" w:cs="Times New Roman"/>
                      <w:snapToGrid/>
                      <w:color w:val="000000"/>
                      <w:kern w:val="0"/>
                      <w:sz w:val="21"/>
                      <w:szCs w:val="21"/>
                      <w:lang w:val="en-US" w:eastAsia="zh-CN" w:bidi="ar-SA"/>
                    </w:rPr>
                    <w:t>A</w:t>
                  </w:r>
                  <w:r>
                    <w:rPr>
                      <w:rFonts w:hint="eastAsia" w:ascii="Times New Roman" w:hAnsi="Times New Roman" w:eastAsia="宋体" w:cs="Times New Roman"/>
                      <w:snapToGrid/>
                      <w:color w:val="000000"/>
                      <w:kern w:val="0"/>
                      <w:sz w:val="21"/>
                      <w:szCs w:val="21"/>
                      <w:lang w:val="en-US" w:eastAsia="zh-CN" w:bidi="ar-SA"/>
                    </w:rPr>
                    <w:t>）</w:t>
                  </w:r>
                </w:p>
              </w:tc>
              <w:tc>
                <w:tcPr>
                  <w:tcW w:w="1250" w:type="pct"/>
                  <w:vAlign w:val="center"/>
                </w:tcPr>
                <w:p w14:paraId="3E16326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default" w:ascii="Times New Roman" w:hAnsi="Times New Roman" w:eastAsia="宋体" w:cs="Times New Roman"/>
                      <w:snapToGrid/>
                      <w:color w:val="000000"/>
                      <w:kern w:val="0"/>
                      <w:sz w:val="21"/>
                      <w:szCs w:val="21"/>
                      <w:lang w:val="en-US" w:eastAsia="zh-CN" w:bidi="ar-SA"/>
                    </w:rPr>
                    <w:t>昼间、夜间等效声级</w:t>
                  </w:r>
                </w:p>
              </w:tc>
            </w:tr>
          </w:tbl>
          <w:p w14:paraId="1D3E419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napToGrid/>
                <w:color w:val="000000"/>
                <w:kern w:val="0"/>
                <w:sz w:val="24"/>
                <w:szCs w:val="24"/>
                <w:lang w:val="en-US" w:eastAsia="zh-CN" w:bidi="ar-SA"/>
              </w:rPr>
            </w:pPr>
          </w:p>
        </w:tc>
      </w:tr>
      <w:tr w14:paraId="6144CBA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520" w:hRule="atLeast"/>
          <w:jc w:val="center"/>
        </w:trPr>
        <w:tc>
          <w:tcPr>
            <w:tcW w:w="5000" w:type="pct"/>
            <w:tcBorders>
              <w:tl2br w:val="nil"/>
              <w:tr2bl w:val="nil"/>
            </w:tcBorders>
            <w:vAlign w:val="top"/>
          </w:tcPr>
          <w:p w14:paraId="5EF47787">
            <w:pPr>
              <w:widowControl/>
              <w:kinsoku/>
              <w:autoSpaceDE/>
              <w:autoSpaceDN/>
              <w:adjustRightInd/>
              <w:snapToGrid/>
              <w:spacing w:line="360" w:lineRule="auto"/>
              <w:jc w:val="both"/>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环境敏感目标</w:t>
            </w:r>
          </w:p>
          <w:p w14:paraId="70832EB0">
            <w:pPr>
              <w:pStyle w:val="11"/>
              <w:keepNext w:val="0"/>
              <w:keepLines w:val="0"/>
              <w:pageBreakBefore w:val="0"/>
              <w:widowControl/>
              <w:tabs>
                <w:tab w:val="left" w:pos="2701"/>
              </w:tabs>
              <w:kinsoku w:val="0"/>
              <w:wordWrap/>
              <w:overflowPunct/>
              <w:topLinePunct w:val="0"/>
              <w:autoSpaceDE w:val="0"/>
              <w:autoSpaceDN w:val="0"/>
              <w:bidi w:val="0"/>
              <w:adjustRightInd w:val="0"/>
              <w:snapToGrid w:val="0"/>
              <w:spacing w:after="0" w:line="360" w:lineRule="auto"/>
              <w:ind w:left="0" w:leftChars="0"/>
              <w:textAlignment w:val="baseline"/>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本项目110kV升压站位于颍上县江店孜镇坡杨路东侧，升压站站界外30m评价范围内无电磁环境敏感目标，站界外200m评价范围内无声环境敏感目标，距升压站最近的环境保护目标为北侧702m处的汪庄。</w:t>
            </w:r>
          </w:p>
          <w:p w14:paraId="37763BAE">
            <w:pPr>
              <w:pStyle w:val="11"/>
              <w:keepNext w:val="0"/>
              <w:keepLines w:val="0"/>
              <w:pageBreakBefore w:val="0"/>
              <w:widowControl/>
              <w:tabs>
                <w:tab w:val="left" w:pos="2701"/>
              </w:tabs>
              <w:kinsoku w:val="0"/>
              <w:wordWrap/>
              <w:overflowPunct/>
              <w:topLinePunct w:val="0"/>
              <w:autoSpaceDE w:val="0"/>
              <w:autoSpaceDN w:val="0"/>
              <w:bidi w:val="0"/>
              <w:adjustRightInd w:val="0"/>
              <w:snapToGrid w:val="0"/>
              <w:spacing w:after="0" w:line="360" w:lineRule="auto"/>
              <w:ind w:left="0" w:leftChars="0"/>
              <w:textAlignment w:val="baseline"/>
              <w:rPr>
                <w:rFonts w:hint="eastAsia" w:ascii="Times New Roman" w:hAnsi="Times New Roman" w:eastAsia="宋体" w:cs="Times New Roman"/>
                <w:b w:val="0"/>
                <w:bCs w:val="0"/>
                <w:snapToGrid/>
                <w:color w:val="000000"/>
                <w:kern w:val="0"/>
                <w:sz w:val="24"/>
                <w:szCs w:val="24"/>
                <w:lang w:val="en-US" w:eastAsia="zh-CN" w:bidi="ar-SA"/>
              </w:rPr>
            </w:pPr>
          </w:p>
          <w:p w14:paraId="148DF31E">
            <w:pPr>
              <w:pStyle w:val="11"/>
              <w:keepNext w:val="0"/>
              <w:keepLines w:val="0"/>
              <w:pageBreakBefore w:val="0"/>
              <w:widowControl/>
              <w:tabs>
                <w:tab w:val="left" w:pos="2701"/>
              </w:tabs>
              <w:kinsoku w:val="0"/>
              <w:wordWrap/>
              <w:overflowPunct/>
              <w:topLinePunct w:val="0"/>
              <w:autoSpaceDE w:val="0"/>
              <w:autoSpaceDN w:val="0"/>
              <w:bidi w:val="0"/>
              <w:adjustRightInd w:val="0"/>
              <w:snapToGrid w:val="0"/>
              <w:spacing w:after="0" w:line="360" w:lineRule="auto"/>
              <w:ind w:left="0" w:leftChars="0"/>
              <w:textAlignment w:val="baseline"/>
              <w:rPr>
                <w:rFonts w:hint="eastAsia" w:ascii="Times New Roman" w:hAnsi="Times New Roman" w:eastAsia="宋体" w:cs="Times New Roman"/>
                <w:b w:val="0"/>
                <w:bCs w:val="0"/>
                <w:snapToGrid/>
                <w:color w:val="000000"/>
                <w:kern w:val="0"/>
                <w:sz w:val="24"/>
                <w:szCs w:val="24"/>
                <w:lang w:val="en-US" w:eastAsia="zh-CN" w:bidi="ar-SA"/>
              </w:rPr>
            </w:pPr>
          </w:p>
          <w:p w14:paraId="613CF09D">
            <w:pPr>
              <w:pStyle w:val="11"/>
              <w:keepNext w:val="0"/>
              <w:keepLines w:val="0"/>
              <w:pageBreakBefore w:val="0"/>
              <w:widowControl/>
              <w:tabs>
                <w:tab w:val="left" w:pos="2701"/>
              </w:tabs>
              <w:kinsoku w:val="0"/>
              <w:wordWrap/>
              <w:overflowPunct/>
              <w:topLinePunct w:val="0"/>
              <w:autoSpaceDE w:val="0"/>
              <w:autoSpaceDN w:val="0"/>
              <w:bidi w:val="0"/>
              <w:adjustRightInd w:val="0"/>
              <w:snapToGrid w:val="0"/>
              <w:spacing w:after="0" w:line="360" w:lineRule="auto"/>
              <w:ind w:left="0" w:leftChars="0"/>
              <w:textAlignment w:val="baseline"/>
              <w:rPr>
                <w:rFonts w:hint="eastAsia" w:ascii="Times New Roman" w:hAnsi="Times New Roman" w:eastAsia="宋体" w:cs="Times New Roman"/>
                <w:b w:val="0"/>
                <w:bCs w:val="0"/>
                <w:snapToGrid/>
                <w:color w:val="000000"/>
                <w:kern w:val="0"/>
                <w:sz w:val="24"/>
                <w:szCs w:val="24"/>
                <w:lang w:val="en-US" w:eastAsia="zh-CN" w:bidi="ar-SA"/>
              </w:rPr>
            </w:pPr>
          </w:p>
          <w:p w14:paraId="37D8875F">
            <w:pPr>
              <w:pStyle w:val="11"/>
              <w:keepNext w:val="0"/>
              <w:keepLines w:val="0"/>
              <w:pageBreakBefore w:val="0"/>
              <w:widowControl/>
              <w:tabs>
                <w:tab w:val="left" w:pos="2701"/>
              </w:tabs>
              <w:kinsoku w:val="0"/>
              <w:wordWrap/>
              <w:overflowPunct/>
              <w:topLinePunct w:val="0"/>
              <w:autoSpaceDE w:val="0"/>
              <w:autoSpaceDN w:val="0"/>
              <w:bidi w:val="0"/>
              <w:adjustRightInd w:val="0"/>
              <w:snapToGrid w:val="0"/>
              <w:spacing w:after="0" w:line="360" w:lineRule="auto"/>
              <w:ind w:left="0" w:leftChars="0"/>
              <w:textAlignment w:val="baseline"/>
              <w:rPr>
                <w:rFonts w:hint="eastAsia" w:ascii="Times New Roman" w:hAnsi="Times New Roman" w:eastAsia="宋体" w:cs="Times New Roman"/>
                <w:b w:val="0"/>
                <w:bCs w:val="0"/>
                <w:snapToGrid/>
                <w:color w:val="000000"/>
                <w:kern w:val="0"/>
                <w:sz w:val="24"/>
                <w:szCs w:val="24"/>
                <w:lang w:val="en-US" w:eastAsia="zh-CN" w:bidi="ar-SA"/>
              </w:rPr>
            </w:pPr>
          </w:p>
          <w:p w14:paraId="03F323CF">
            <w:pPr>
              <w:pStyle w:val="11"/>
              <w:keepNext w:val="0"/>
              <w:keepLines w:val="0"/>
              <w:pageBreakBefore w:val="0"/>
              <w:widowControl/>
              <w:tabs>
                <w:tab w:val="left" w:pos="2701"/>
              </w:tabs>
              <w:kinsoku w:val="0"/>
              <w:wordWrap/>
              <w:overflowPunct/>
              <w:topLinePunct w:val="0"/>
              <w:autoSpaceDE w:val="0"/>
              <w:autoSpaceDN w:val="0"/>
              <w:bidi w:val="0"/>
              <w:adjustRightInd w:val="0"/>
              <w:snapToGrid w:val="0"/>
              <w:spacing w:after="0" w:line="360" w:lineRule="auto"/>
              <w:ind w:left="0" w:leftChars="0"/>
              <w:textAlignment w:val="baseline"/>
              <w:rPr>
                <w:rFonts w:hint="default" w:ascii="Times New Roman" w:hAnsi="Times New Roman" w:eastAsia="宋体" w:cs="Times New Roman"/>
                <w:snapToGrid/>
                <w:color w:val="000000"/>
                <w:kern w:val="0"/>
                <w:sz w:val="24"/>
                <w:szCs w:val="24"/>
                <w:lang w:val="en-US" w:eastAsia="zh-CN" w:bidi="ar-SA"/>
              </w:rPr>
            </w:pPr>
          </w:p>
        </w:tc>
      </w:tr>
      <w:tr w14:paraId="3883ADB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866" w:hRule="atLeast"/>
          <w:jc w:val="center"/>
        </w:trPr>
        <w:tc>
          <w:tcPr>
            <w:tcW w:w="5000" w:type="pct"/>
            <w:tcBorders>
              <w:tl2br w:val="nil"/>
              <w:tr2bl w:val="nil"/>
            </w:tcBorders>
            <w:vAlign w:val="top"/>
          </w:tcPr>
          <w:p w14:paraId="04BE68C1">
            <w:pPr>
              <w:widowControl/>
              <w:kinsoku/>
              <w:autoSpaceDE/>
              <w:autoSpaceDN/>
              <w:adjustRightInd/>
              <w:snapToGrid/>
              <w:spacing w:line="240" w:lineRule="auto"/>
              <w:jc w:val="both"/>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调查重点</w:t>
            </w:r>
          </w:p>
          <w:p w14:paraId="1A6D66EA">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snapToGrid/>
                <w:color w:val="000000"/>
                <w:kern w:val="0"/>
                <w:sz w:val="24"/>
                <w:szCs w:val="24"/>
                <w:lang w:val="en-US" w:eastAsia="zh-CN" w:bidi="ar-SA"/>
              </w:rPr>
            </w:pPr>
            <w:r>
              <w:rPr>
                <w:rFonts w:hint="default" w:ascii="Times New Roman" w:hAnsi="Times New Roman" w:eastAsia="宋体" w:cs="Times New Roman"/>
                <w:b w:val="0"/>
                <w:bCs w:val="0"/>
                <w:snapToGrid/>
                <w:color w:val="000000"/>
                <w:kern w:val="0"/>
                <w:sz w:val="24"/>
                <w:szCs w:val="24"/>
                <w:lang w:val="en-US" w:eastAsia="zh-CN" w:bidi="ar-SA"/>
              </w:rPr>
              <w:t>工程建设期的环境影响主要是110kV升压站建设过程将造成地表植被破坏，运行期的环境影响主要来自于</w:t>
            </w:r>
            <w:r>
              <w:rPr>
                <w:rFonts w:hint="eastAsia" w:ascii="Times New Roman" w:hAnsi="Times New Roman" w:eastAsia="宋体" w:cs="Times New Roman"/>
                <w:b w:val="0"/>
                <w:bCs w:val="0"/>
                <w:snapToGrid/>
                <w:color w:val="000000"/>
                <w:kern w:val="0"/>
                <w:sz w:val="24"/>
                <w:szCs w:val="24"/>
                <w:lang w:val="en-US" w:eastAsia="zh-CN" w:bidi="ar-SA"/>
              </w:rPr>
              <w:t>110kV升压站</w:t>
            </w:r>
            <w:r>
              <w:rPr>
                <w:rFonts w:hint="default" w:ascii="Times New Roman" w:hAnsi="Times New Roman" w:eastAsia="宋体" w:cs="Times New Roman"/>
                <w:b w:val="0"/>
                <w:bCs w:val="0"/>
                <w:snapToGrid/>
                <w:color w:val="000000"/>
                <w:kern w:val="0"/>
                <w:sz w:val="24"/>
                <w:szCs w:val="24"/>
                <w:lang w:val="en-US" w:eastAsia="zh-CN" w:bidi="ar-SA"/>
              </w:rPr>
              <w:t>产生的工频电场、工频磁场、噪声等。根据工程产生的影响，确定验收调查的重点为：</w:t>
            </w:r>
          </w:p>
          <w:p w14:paraId="6DCB6617">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（1）</w:t>
            </w:r>
            <w:r>
              <w:rPr>
                <w:rFonts w:hint="default" w:ascii="Times New Roman" w:hAnsi="Times New Roman" w:eastAsia="宋体" w:cs="Times New Roman"/>
                <w:b w:val="0"/>
                <w:bCs w:val="0"/>
                <w:snapToGrid/>
                <w:color w:val="000000"/>
                <w:kern w:val="0"/>
                <w:sz w:val="24"/>
                <w:szCs w:val="24"/>
                <w:lang w:val="en-US" w:eastAsia="zh-CN" w:bidi="ar-SA"/>
              </w:rPr>
              <w:t>生态影响调查</w:t>
            </w:r>
          </w:p>
          <w:p w14:paraId="0523479E">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snapToGrid/>
                <w:color w:val="000000"/>
                <w:kern w:val="0"/>
                <w:sz w:val="24"/>
                <w:szCs w:val="24"/>
                <w:lang w:val="en-US" w:eastAsia="zh-CN" w:bidi="ar-SA"/>
              </w:rPr>
            </w:pPr>
            <w:r>
              <w:rPr>
                <w:rFonts w:hint="default" w:ascii="Times New Roman" w:hAnsi="Times New Roman" w:eastAsia="宋体" w:cs="Times New Roman"/>
                <w:b w:val="0"/>
                <w:bCs w:val="0"/>
                <w:snapToGrid/>
                <w:color w:val="000000"/>
                <w:kern w:val="0"/>
                <w:sz w:val="24"/>
                <w:szCs w:val="24"/>
                <w:lang w:val="en-US" w:eastAsia="zh-CN" w:bidi="ar-SA"/>
              </w:rPr>
              <w:t>调查</w:t>
            </w:r>
            <w:r>
              <w:rPr>
                <w:rFonts w:hint="eastAsia" w:ascii="Times New Roman" w:hAnsi="Times New Roman" w:eastAsia="宋体" w:cs="Times New Roman"/>
                <w:b w:val="0"/>
                <w:bCs w:val="0"/>
                <w:snapToGrid/>
                <w:color w:val="000000"/>
                <w:kern w:val="0"/>
                <w:sz w:val="24"/>
                <w:szCs w:val="24"/>
                <w:lang w:val="en-US" w:eastAsia="zh-CN" w:bidi="ar-SA"/>
              </w:rPr>
              <w:t>110kV升压站</w:t>
            </w:r>
            <w:r>
              <w:rPr>
                <w:rFonts w:hint="default" w:ascii="Times New Roman" w:hAnsi="Times New Roman" w:eastAsia="宋体" w:cs="Times New Roman"/>
                <w:b w:val="0"/>
                <w:bCs w:val="0"/>
                <w:snapToGrid/>
                <w:color w:val="000000"/>
                <w:kern w:val="0"/>
                <w:sz w:val="24"/>
                <w:szCs w:val="24"/>
                <w:lang w:val="en-US" w:eastAsia="zh-CN" w:bidi="ar-SA"/>
              </w:rPr>
              <w:t>永久占地和临时占地的土地类型、面积及临时占地的植被恢复措施和恢复情况，对涉及自然保护区等生态敏感目标的项目，重点调查项目建设的环境影响及环境保护措施的实施情况。</w:t>
            </w:r>
          </w:p>
          <w:p w14:paraId="729488E9">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（2）</w:t>
            </w:r>
            <w:r>
              <w:rPr>
                <w:rFonts w:hint="default" w:ascii="Times New Roman" w:hAnsi="Times New Roman" w:eastAsia="宋体" w:cs="Times New Roman"/>
                <w:b w:val="0"/>
                <w:bCs w:val="0"/>
                <w:snapToGrid/>
                <w:color w:val="000000"/>
                <w:kern w:val="0"/>
                <w:sz w:val="24"/>
                <w:szCs w:val="24"/>
                <w:lang w:val="en-US" w:eastAsia="zh-CN" w:bidi="ar-SA"/>
              </w:rPr>
              <w:t>电磁环境影响调查</w:t>
            </w:r>
          </w:p>
          <w:p w14:paraId="3FBD953C">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snapToGrid/>
                <w:color w:val="000000"/>
                <w:kern w:val="0"/>
                <w:sz w:val="24"/>
                <w:szCs w:val="24"/>
                <w:lang w:val="en-US" w:eastAsia="zh-CN" w:bidi="ar-SA"/>
              </w:rPr>
            </w:pPr>
            <w:r>
              <w:rPr>
                <w:rFonts w:hint="default" w:ascii="Times New Roman" w:hAnsi="Times New Roman" w:eastAsia="宋体" w:cs="Times New Roman"/>
                <w:b w:val="0"/>
                <w:bCs w:val="0"/>
                <w:snapToGrid/>
                <w:color w:val="000000"/>
                <w:kern w:val="0"/>
                <w:sz w:val="24"/>
                <w:szCs w:val="24"/>
                <w:lang w:val="en-US" w:eastAsia="zh-CN" w:bidi="ar-SA"/>
              </w:rPr>
              <w:t>重点调查</w:t>
            </w:r>
            <w:r>
              <w:rPr>
                <w:rFonts w:hint="eastAsia" w:ascii="Times New Roman" w:hAnsi="Times New Roman" w:eastAsia="宋体" w:cs="Times New Roman"/>
                <w:b w:val="0"/>
                <w:bCs w:val="0"/>
                <w:snapToGrid/>
                <w:color w:val="000000"/>
                <w:kern w:val="0"/>
                <w:sz w:val="24"/>
                <w:szCs w:val="24"/>
                <w:lang w:val="en-US" w:eastAsia="zh-CN" w:bidi="ar-SA"/>
              </w:rPr>
              <w:t>110kV升压站</w:t>
            </w:r>
            <w:r>
              <w:rPr>
                <w:rFonts w:hint="default" w:ascii="Times New Roman" w:hAnsi="Times New Roman" w:eastAsia="宋体" w:cs="Times New Roman"/>
                <w:b w:val="0"/>
                <w:bCs w:val="0"/>
                <w:snapToGrid/>
                <w:color w:val="000000"/>
                <w:kern w:val="0"/>
                <w:sz w:val="24"/>
                <w:szCs w:val="24"/>
                <w:lang w:val="en-US" w:eastAsia="zh-CN" w:bidi="ar-SA"/>
              </w:rPr>
              <w:t>电磁环境敏感目标受本工程产生的工频电场、工频磁场的影响程度，调查环境影响报告表中提出的电磁防护措施及环评批复要求落实情况。</w:t>
            </w:r>
          </w:p>
          <w:p w14:paraId="7428EA86">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（3）</w:t>
            </w:r>
            <w:r>
              <w:rPr>
                <w:rFonts w:hint="default" w:ascii="Times New Roman" w:hAnsi="Times New Roman" w:eastAsia="宋体" w:cs="Times New Roman"/>
                <w:b w:val="0"/>
                <w:bCs w:val="0"/>
                <w:snapToGrid/>
                <w:color w:val="000000"/>
                <w:kern w:val="0"/>
                <w:sz w:val="24"/>
                <w:szCs w:val="24"/>
                <w:lang w:val="en-US" w:eastAsia="zh-CN" w:bidi="ar-SA"/>
              </w:rPr>
              <w:t>声环境影响调查</w:t>
            </w:r>
          </w:p>
          <w:p w14:paraId="202BA737">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snapToGrid/>
                <w:color w:val="000000"/>
                <w:kern w:val="0"/>
                <w:sz w:val="24"/>
                <w:szCs w:val="24"/>
                <w:lang w:val="en-US" w:eastAsia="zh-CN" w:bidi="ar-SA"/>
              </w:rPr>
            </w:pPr>
            <w:r>
              <w:rPr>
                <w:rFonts w:hint="default" w:ascii="Times New Roman" w:hAnsi="Times New Roman" w:eastAsia="宋体" w:cs="Times New Roman"/>
                <w:b w:val="0"/>
                <w:bCs w:val="0"/>
                <w:snapToGrid/>
                <w:color w:val="000000"/>
                <w:kern w:val="0"/>
                <w:sz w:val="24"/>
                <w:szCs w:val="24"/>
                <w:lang w:val="en-US" w:eastAsia="zh-CN" w:bidi="ar-SA"/>
              </w:rPr>
              <w:t>重点调查110kV升压站声环境敏感目标受线路</w:t>
            </w:r>
            <w:r>
              <w:rPr>
                <w:rFonts w:hint="eastAsia" w:ascii="Times New Roman" w:hAnsi="Times New Roman" w:eastAsia="宋体" w:cs="Times New Roman"/>
                <w:b w:val="0"/>
                <w:bCs w:val="0"/>
                <w:snapToGrid/>
                <w:color w:val="000000"/>
                <w:kern w:val="0"/>
                <w:sz w:val="24"/>
                <w:szCs w:val="24"/>
                <w:lang w:val="en-US" w:eastAsia="zh-CN" w:bidi="ar-SA"/>
              </w:rPr>
              <w:t>电磁</w:t>
            </w:r>
            <w:r>
              <w:rPr>
                <w:rFonts w:hint="default" w:ascii="Times New Roman" w:hAnsi="Times New Roman" w:eastAsia="宋体" w:cs="Times New Roman"/>
                <w:b w:val="0"/>
                <w:bCs w:val="0"/>
                <w:snapToGrid/>
                <w:color w:val="000000"/>
                <w:kern w:val="0"/>
                <w:sz w:val="24"/>
                <w:szCs w:val="24"/>
                <w:lang w:val="en-US" w:eastAsia="zh-CN" w:bidi="ar-SA"/>
              </w:rPr>
              <w:t>噪声的影响程度，调查环境影响报告表中提出的噪声防治措施及环评批复要求落实情况。</w:t>
            </w:r>
          </w:p>
          <w:p w14:paraId="433A4DA1">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（4）</w:t>
            </w:r>
            <w:r>
              <w:rPr>
                <w:rFonts w:hint="default" w:ascii="Times New Roman" w:hAnsi="Times New Roman" w:eastAsia="宋体" w:cs="Times New Roman"/>
                <w:b w:val="0"/>
                <w:bCs w:val="0"/>
                <w:snapToGrid/>
                <w:color w:val="000000"/>
                <w:kern w:val="0"/>
                <w:sz w:val="24"/>
                <w:szCs w:val="24"/>
                <w:lang w:val="en-US" w:eastAsia="zh-CN" w:bidi="ar-SA"/>
              </w:rPr>
              <w:t>水环境影响调查</w:t>
            </w:r>
          </w:p>
          <w:p w14:paraId="09828AC2">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snapToGrid/>
                <w:color w:val="000000"/>
                <w:kern w:val="0"/>
                <w:sz w:val="24"/>
                <w:szCs w:val="24"/>
                <w:lang w:val="en-US" w:eastAsia="zh-CN" w:bidi="ar-SA"/>
              </w:rPr>
            </w:pPr>
            <w:r>
              <w:rPr>
                <w:rFonts w:hint="default" w:ascii="Times New Roman" w:hAnsi="Times New Roman" w:eastAsia="宋体" w:cs="Times New Roman"/>
                <w:b w:val="0"/>
                <w:bCs w:val="0"/>
                <w:snapToGrid/>
                <w:color w:val="000000"/>
                <w:kern w:val="0"/>
                <w:sz w:val="24"/>
                <w:szCs w:val="24"/>
                <w:lang w:val="en-US" w:eastAsia="zh-CN" w:bidi="ar-SA"/>
              </w:rPr>
              <w:t>工程施工阶段对水体的影响主要调查水体类型、级别、工程施工方式、与河流位置关系等。</w:t>
            </w:r>
          </w:p>
          <w:p w14:paraId="4A7B9023">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（5）其他影响调查</w:t>
            </w:r>
          </w:p>
          <w:p w14:paraId="4B518A66">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①工程设计及环境影响评价文件中提出的造成环境影响的主要工程内容；</w:t>
            </w:r>
          </w:p>
          <w:p w14:paraId="1B9FFC4D">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②核查实际工程内容、方案设计变更情况和造成的环境影响变化情况；</w:t>
            </w:r>
          </w:p>
          <w:p w14:paraId="748AAD2B">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③环境保护目标基本情况及变更情况；</w:t>
            </w:r>
          </w:p>
          <w:p w14:paraId="51A1562D">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④环境影响评价制度及其他环境保护规章制度执行情况；</w:t>
            </w:r>
          </w:p>
          <w:p w14:paraId="54921645">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⑤环境保护设计文件、环境影响评价文件及其审批文件中提出的环境保护措施落实情况及其效果、环境风险防范与应急措施落实情况及其有效性；</w:t>
            </w:r>
          </w:p>
          <w:p w14:paraId="03853B8C">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⑥环境质量和环境监测因子达标情况；</w:t>
            </w:r>
          </w:p>
          <w:p w14:paraId="5396AF6B">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⑦工程环境保护投资落实情况。</w:t>
            </w:r>
          </w:p>
          <w:p w14:paraId="7B05AFEC">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p>
          <w:p w14:paraId="78C65F53">
            <w:pPr>
              <w:pStyle w:val="11"/>
              <w:rPr>
                <w:rFonts w:hint="eastAsia"/>
                <w:lang w:val="en-US" w:eastAsia="zh-CN"/>
              </w:rPr>
            </w:pPr>
          </w:p>
          <w:p w14:paraId="573D014F">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napToGrid/>
                <w:color w:val="000000"/>
                <w:kern w:val="0"/>
                <w:sz w:val="24"/>
                <w:szCs w:val="24"/>
                <w:lang w:val="en-US" w:eastAsia="zh-CN" w:bidi="ar-SA"/>
              </w:rPr>
            </w:pPr>
          </w:p>
        </w:tc>
      </w:tr>
    </w:tbl>
    <w:p w14:paraId="0FF44553">
      <w:pPr>
        <w:widowControl/>
        <w:kinsoku/>
        <w:autoSpaceDE/>
        <w:autoSpaceDN/>
        <w:adjustRightInd/>
        <w:snapToGrid/>
        <w:spacing w:line="240" w:lineRule="auto"/>
        <w:jc w:val="center"/>
        <w:textAlignment w:val="auto"/>
        <w:rPr>
          <w:rFonts w:hint="default" w:ascii="Times New Roman" w:hAnsi="Times New Roman" w:eastAsia="黑体" w:cs="Times New Roman"/>
          <w:b/>
          <w:bCs/>
          <w:snapToGrid/>
          <w:color w:val="000000"/>
          <w:kern w:val="0"/>
          <w:sz w:val="28"/>
          <w:szCs w:val="28"/>
          <w:lang w:val="en-US" w:eastAsia="zh-CN" w:bidi="ar-SA"/>
        </w:rPr>
      </w:pPr>
      <w:r>
        <w:rPr>
          <w:rFonts w:hint="default" w:ascii="Times New Roman" w:hAnsi="Times New Roman" w:eastAsia="黑体" w:cs="Times New Roman"/>
          <w:b/>
          <w:bCs/>
          <w:snapToGrid/>
          <w:color w:val="000000"/>
          <w:kern w:val="0"/>
          <w:sz w:val="28"/>
          <w:szCs w:val="28"/>
          <w:lang w:val="en-US" w:eastAsia="zh-CN" w:bidi="ar-SA"/>
        </w:rPr>
        <w:t>表3验收执行标准</w:t>
      </w:r>
    </w:p>
    <w:p w14:paraId="7DD2CFED">
      <w:pPr>
        <w:spacing w:line="135" w:lineRule="auto"/>
        <w:rPr>
          <w:rFonts w:ascii="Arial"/>
          <w:sz w:val="2"/>
        </w:rPr>
      </w:pPr>
    </w:p>
    <w:tbl>
      <w:tblPr>
        <w:tblStyle w:val="16"/>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8329"/>
      </w:tblGrid>
      <w:tr w14:paraId="59F5E34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832" w:hRule="atLeast"/>
        </w:trPr>
        <w:tc>
          <w:tcPr>
            <w:tcW w:w="5000" w:type="pct"/>
            <w:tcBorders>
              <w:tl2br w:val="nil"/>
              <w:tr2bl w:val="nil"/>
            </w:tcBorders>
            <w:vAlign w:val="top"/>
          </w:tcPr>
          <w:p w14:paraId="46BBFD51">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电磁环境标准</w:t>
            </w:r>
          </w:p>
          <w:p w14:paraId="161F166C">
            <w:pPr>
              <w:pStyle w:val="2"/>
              <w:keepNext w:val="0"/>
              <w:keepLines w:val="0"/>
              <w:pageBreakBefore w:val="0"/>
              <w:widowControl/>
              <w:wordWrap/>
              <w:overflowPunct/>
              <w:topLinePunct w:val="0"/>
              <w:bidi w:val="0"/>
              <w:adjustRightInd/>
              <w:snapToGrid/>
              <w:spacing w:line="360" w:lineRule="auto"/>
              <w:ind w:firstLine="480" w:firstLineChars="200"/>
              <w:jc w:val="both"/>
              <w:rPr>
                <w:rFonts w:ascii="Times New Roman" w:hAnsi="Times New Roman" w:cs="Times New Roman"/>
                <w:lang w:eastAsia="zh-CN"/>
              </w:rPr>
            </w:pPr>
            <w:r>
              <w:rPr>
                <w:rFonts w:ascii="Times New Roman" w:hAnsi="Times New Roman" w:cs="Times New Roman"/>
                <w:lang w:eastAsia="zh-CN"/>
              </w:rPr>
              <w:t>工频电场、工频磁场执行《电磁环境控制限值》（GB8702-2014）表1中公众暴露限值，即频率50Hz对应的工频电场强度限值：4000V/m；工频磁感应强度限值：100μT。</w:t>
            </w:r>
          </w:p>
          <w:p w14:paraId="3A05F674">
            <w:pPr>
              <w:pStyle w:val="2"/>
              <w:jc w:val="center"/>
              <w:rPr>
                <w:rFonts w:ascii="Times New Roman" w:hAnsi="Times New Roman" w:cs="Times New Roman"/>
                <w:b/>
                <w:bCs/>
              </w:rPr>
            </w:pPr>
            <w:r>
              <w:rPr>
                <w:rFonts w:hint="eastAsia" w:ascii="Times New Roman" w:hAnsi="Times New Roman" w:cs="Times New Roman"/>
                <w:b/>
                <w:bCs/>
                <w:lang w:eastAsia="zh-CN"/>
              </w:rPr>
              <w:t>表</w:t>
            </w:r>
            <w:r>
              <w:rPr>
                <w:rFonts w:hint="eastAsia" w:ascii="Times New Roman" w:hAnsi="Times New Roman" w:cs="Times New Roman"/>
                <w:b/>
                <w:bCs/>
                <w:lang w:val="en-US" w:eastAsia="zh-CN"/>
              </w:rPr>
              <w:t>3.1</w:t>
            </w:r>
            <w:r>
              <w:rPr>
                <w:rFonts w:ascii="Times New Roman" w:hAnsi="Times New Roman" w:cs="Times New Roman"/>
                <w:b/>
                <w:bCs/>
              </w:rPr>
              <w:t>标准执行一览表</w:t>
            </w:r>
          </w:p>
          <w:tbl>
            <w:tblPr>
              <w:tblStyle w:val="12"/>
              <w:tblW w:w="499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89"/>
              <w:gridCol w:w="1134"/>
              <w:gridCol w:w="3108"/>
              <w:gridCol w:w="3053"/>
            </w:tblGrid>
            <w:tr w14:paraId="6DD74E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jc w:val="center"/>
              </w:trPr>
              <w:tc>
                <w:tcPr>
                  <w:tcW w:w="597" w:type="pct"/>
                  <w:noWrap w:val="0"/>
                  <w:vAlign w:val="center"/>
                </w:tcPr>
                <w:p w14:paraId="1F371B24">
                  <w:pPr>
                    <w:pStyle w:val="2"/>
                    <w:jc w:val="center"/>
                    <w:rPr>
                      <w:rFonts w:hint="eastAsia" w:ascii="Times New Roman" w:hAnsi="Times New Roman" w:cs="Times New Roman"/>
                      <w:b/>
                      <w:bCs/>
                      <w:sz w:val="21"/>
                      <w:szCs w:val="21"/>
                      <w:lang w:eastAsia="zh-CN"/>
                    </w:rPr>
                  </w:pPr>
                  <w:r>
                    <w:rPr>
                      <w:rFonts w:hint="eastAsia" w:ascii="Times New Roman" w:hAnsi="Times New Roman" w:cs="Times New Roman"/>
                      <w:b/>
                      <w:bCs/>
                      <w:sz w:val="21"/>
                      <w:szCs w:val="21"/>
                      <w:lang w:eastAsia="zh-CN"/>
                    </w:rPr>
                    <w:t>类别</w:t>
                  </w:r>
                </w:p>
              </w:tc>
              <w:tc>
                <w:tcPr>
                  <w:tcW w:w="684" w:type="pct"/>
                  <w:noWrap w:val="0"/>
                  <w:vAlign w:val="center"/>
                </w:tcPr>
                <w:p w14:paraId="6B383E08">
                  <w:pPr>
                    <w:pStyle w:val="2"/>
                    <w:jc w:val="center"/>
                    <w:rPr>
                      <w:rFonts w:ascii="Times New Roman" w:hAnsi="Times New Roman" w:cs="Times New Roman"/>
                      <w:b/>
                      <w:bCs/>
                      <w:sz w:val="21"/>
                      <w:szCs w:val="21"/>
                    </w:rPr>
                  </w:pPr>
                  <w:r>
                    <w:rPr>
                      <w:rFonts w:ascii="Times New Roman" w:hAnsi="Times New Roman" w:cs="Times New Roman"/>
                      <w:b/>
                      <w:bCs/>
                      <w:sz w:val="21"/>
                      <w:szCs w:val="21"/>
                    </w:rPr>
                    <w:t>分类</w:t>
                  </w:r>
                </w:p>
              </w:tc>
              <w:tc>
                <w:tcPr>
                  <w:tcW w:w="1875" w:type="pct"/>
                  <w:noWrap w:val="0"/>
                  <w:vAlign w:val="center"/>
                </w:tcPr>
                <w:p w14:paraId="7C7C07B3">
                  <w:pPr>
                    <w:pStyle w:val="2"/>
                    <w:jc w:val="center"/>
                    <w:rPr>
                      <w:rFonts w:ascii="Times New Roman" w:hAnsi="Times New Roman" w:cs="Times New Roman"/>
                      <w:b/>
                      <w:bCs/>
                      <w:sz w:val="21"/>
                      <w:szCs w:val="21"/>
                    </w:rPr>
                  </w:pPr>
                  <w:r>
                    <w:rPr>
                      <w:rFonts w:ascii="Times New Roman" w:hAnsi="Times New Roman" w:cs="Times New Roman"/>
                      <w:b/>
                      <w:bCs/>
                      <w:sz w:val="21"/>
                      <w:szCs w:val="21"/>
                    </w:rPr>
                    <w:t>环境质量标准</w:t>
                  </w:r>
                </w:p>
              </w:tc>
              <w:tc>
                <w:tcPr>
                  <w:tcW w:w="1842" w:type="pct"/>
                  <w:noWrap w:val="0"/>
                  <w:vAlign w:val="center"/>
                </w:tcPr>
                <w:p w14:paraId="249968D8">
                  <w:pPr>
                    <w:pStyle w:val="2"/>
                    <w:jc w:val="center"/>
                    <w:rPr>
                      <w:rFonts w:hint="eastAsia" w:ascii="Times New Roman" w:hAnsi="Times New Roman" w:cs="Times New Roman"/>
                      <w:b/>
                      <w:bCs/>
                      <w:sz w:val="21"/>
                      <w:szCs w:val="21"/>
                      <w:lang w:eastAsia="zh-CN"/>
                    </w:rPr>
                  </w:pPr>
                  <w:r>
                    <w:rPr>
                      <w:rFonts w:hint="eastAsia" w:ascii="Times New Roman" w:hAnsi="Times New Roman" w:cs="Times New Roman"/>
                      <w:b/>
                      <w:bCs/>
                      <w:sz w:val="21"/>
                      <w:szCs w:val="21"/>
                      <w:lang w:eastAsia="zh-CN"/>
                    </w:rPr>
                    <w:t>数值</w:t>
                  </w:r>
                </w:p>
              </w:tc>
            </w:tr>
            <w:tr w14:paraId="1FD6AA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jc w:val="center"/>
              </w:trPr>
              <w:tc>
                <w:tcPr>
                  <w:tcW w:w="597" w:type="pct"/>
                  <w:noWrap w:val="0"/>
                  <w:vAlign w:val="center"/>
                </w:tcPr>
                <w:p w14:paraId="4B0613F0">
                  <w:pPr>
                    <w:pStyle w:val="2"/>
                    <w:jc w:val="center"/>
                    <w:rPr>
                      <w:rFonts w:hint="eastAsia" w:ascii="Times New Roman" w:hAnsi="Times New Roman" w:cs="Times New Roman"/>
                      <w:sz w:val="21"/>
                      <w:szCs w:val="21"/>
                      <w:lang w:eastAsia="zh-CN"/>
                    </w:rPr>
                  </w:pPr>
                  <w:r>
                    <w:rPr>
                      <w:rFonts w:hint="eastAsia" w:ascii="Times New Roman" w:hAnsi="Times New Roman" w:cs="Times New Roman"/>
                      <w:sz w:val="21"/>
                      <w:szCs w:val="21"/>
                      <w:lang w:eastAsia="zh-CN"/>
                    </w:rPr>
                    <w:t>环境质量标准</w:t>
                  </w:r>
                </w:p>
              </w:tc>
              <w:tc>
                <w:tcPr>
                  <w:tcW w:w="684" w:type="pct"/>
                  <w:tcBorders>
                    <w:bottom w:val="single" w:color="auto" w:sz="4" w:space="0"/>
                  </w:tcBorders>
                  <w:noWrap w:val="0"/>
                  <w:vAlign w:val="center"/>
                </w:tcPr>
                <w:p w14:paraId="483C3A6C">
                  <w:pPr>
                    <w:pStyle w:val="2"/>
                    <w:jc w:val="center"/>
                    <w:rPr>
                      <w:rFonts w:hint="eastAsia" w:ascii="Times New Roman" w:hAnsi="Times New Roman" w:eastAsia="宋体" w:cs="Times New Roman"/>
                      <w:b/>
                      <w:bCs/>
                      <w:snapToGrid w:val="0"/>
                      <w:color w:val="000000"/>
                      <w:kern w:val="0"/>
                      <w:sz w:val="21"/>
                      <w:szCs w:val="21"/>
                      <w:lang w:eastAsia="zh-CN"/>
                    </w:rPr>
                  </w:pPr>
                  <w:r>
                    <w:rPr>
                      <w:rFonts w:ascii="Times New Roman" w:hAnsi="Times New Roman" w:cs="Times New Roman"/>
                      <w:sz w:val="21"/>
                      <w:szCs w:val="21"/>
                    </w:rPr>
                    <w:t>电磁环境</w:t>
                  </w:r>
                </w:p>
              </w:tc>
              <w:tc>
                <w:tcPr>
                  <w:tcW w:w="1875" w:type="pct"/>
                  <w:tcBorders>
                    <w:bottom w:val="single" w:color="auto" w:sz="4" w:space="0"/>
                  </w:tcBorders>
                  <w:noWrap w:val="0"/>
                  <w:vAlign w:val="center"/>
                </w:tcPr>
                <w:p w14:paraId="095DBBA6">
                  <w:pPr>
                    <w:pStyle w:val="2"/>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w:t>
                  </w:r>
                  <w:r>
                    <w:rPr>
                      <w:rFonts w:ascii="Times New Roman" w:hAnsi="Times New Roman" w:cs="Times New Roman"/>
                      <w:sz w:val="21"/>
                      <w:szCs w:val="21"/>
                      <w:lang w:eastAsia="zh-CN"/>
                    </w:rPr>
                    <w:t>电磁环境控制限值》</w:t>
                  </w:r>
                </w:p>
                <w:p w14:paraId="0F19A102">
                  <w:pPr>
                    <w:pStyle w:val="2"/>
                    <w:jc w:val="center"/>
                    <w:rPr>
                      <w:rFonts w:ascii="Times New Roman" w:hAnsi="Times New Roman" w:eastAsia="宋体" w:cs="Times New Roman"/>
                      <w:snapToGrid w:val="0"/>
                      <w:color w:val="000000"/>
                      <w:kern w:val="0"/>
                      <w:sz w:val="21"/>
                      <w:szCs w:val="21"/>
                      <w:lang w:eastAsia="zh-CN"/>
                    </w:rPr>
                  </w:pPr>
                  <w:r>
                    <w:rPr>
                      <w:rFonts w:ascii="Times New Roman" w:hAnsi="Times New Roman" w:cs="Times New Roman"/>
                      <w:sz w:val="21"/>
                      <w:szCs w:val="21"/>
                      <w:lang w:eastAsia="zh-CN"/>
                    </w:rPr>
                    <w:t>（GB 8702-2014）</w:t>
                  </w:r>
                </w:p>
              </w:tc>
              <w:tc>
                <w:tcPr>
                  <w:tcW w:w="1842" w:type="pct"/>
                  <w:tcBorders>
                    <w:bottom w:val="single" w:color="auto" w:sz="4" w:space="0"/>
                  </w:tcBorders>
                  <w:noWrap w:val="0"/>
                  <w:vAlign w:val="center"/>
                </w:tcPr>
                <w:p w14:paraId="1A9C4BE1">
                  <w:pPr>
                    <w:pStyle w:val="2"/>
                    <w:jc w:val="center"/>
                    <w:rPr>
                      <w:rFonts w:hint="eastAsia" w:ascii="Times New Roman" w:hAnsi="Times New Roman" w:cs="Times New Roman"/>
                      <w:sz w:val="21"/>
                      <w:szCs w:val="21"/>
                      <w:lang w:eastAsia="zh-CN"/>
                    </w:rPr>
                  </w:pPr>
                  <w:r>
                    <w:rPr>
                      <w:rFonts w:ascii="Times New Roman" w:hAnsi="Times New Roman" w:cs="Times New Roman"/>
                      <w:sz w:val="21"/>
                      <w:szCs w:val="21"/>
                      <w:lang w:eastAsia="zh-CN"/>
                    </w:rPr>
                    <w:t>工频电场强度限值：4000V/m</w:t>
                  </w:r>
                  <w:r>
                    <w:rPr>
                      <w:rFonts w:hint="eastAsia" w:ascii="Times New Roman" w:hAnsi="Times New Roman" w:cs="Times New Roman"/>
                      <w:sz w:val="21"/>
                      <w:szCs w:val="21"/>
                      <w:lang w:eastAsia="zh-CN"/>
                    </w:rPr>
                    <w:t>；</w:t>
                  </w:r>
                </w:p>
                <w:p w14:paraId="48BE78B3">
                  <w:pPr>
                    <w:pStyle w:val="2"/>
                    <w:jc w:val="center"/>
                    <w:rPr>
                      <w:rFonts w:ascii="Times New Roman" w:hAnsi="Times New Roman" w:eastAsia="宋体" w:cs="Times New Roman"/>
                      <w:snapToGrid w:val="0"/>
                      <w:color w:val="000000"/>
                      <w:kern w:val="0"/>
                      <w:sz w:val="21"/>
                      <w:szCs w:val="21"/>
                      <w:lang w:eastAsia="zh-CN"/>
                    </w:rPr>
                  </w:pPr>
                  <w:r>
                    <w:rPr>
                      <w:rFonts w:ascii="Times New Roman" w:hAnsi="Times New Roman" w:cs="Times New Roman"/>
                      <w:sz w:val="21"/>
                      <w:szCs w:val="21"/>
                      <w:lang w:eastAsia="zh-CN"/>
                    </w:rPr>
                    <w:t>工频磁感应强度限值：100μT</w:t>
                  </w:r>
                </w:p>
              </w:tc>
            </w:tr>
          </w:tbl>
          <w:p w14:paraId="28054675">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napToGrid/>
                <w:color w:val="000000"/>
                <w:kern w:val="0"/>
                <w:sz w:val="24"/>
                <w:szCs w:val="24"/>
                <w:lang w:val="en-US" w:eastAsia="zh-CN" w:bidi="ar-SA"/>
              </w:rPr>
            </w:pPr>
          </w:p>
        </w:tc>
      </w:tr>
      <w:tr w14:paraId="52DDF98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796" w:hRule="atLeast"/>
        </w:trPr>
        <w:tc>
          <w:tcPr>
            <w:tcW w:w="5000" w:type="pct"/>
            <w:tcBorders>
              <w:tl2br w:val="nil"/>
              <w:tr2bl w:val="nil"/>
            </w:tcBorders>
            <w:vAlign w:val="top"/>
          </w:tcPr>
          <w:p w14:paraId="694BAAA3">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声环境标准</w:t>
            </w:r>
          </w:p>
          <w:p w14:paraId="3AD40D60">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升压</w:t>
            </w:r>
            <w:r>
              <w:rPr>
                <w:rFonts w:hint="default" w:ascii="Times New Roman" w:hAnsi="Times New Roman" w:eastAsia="宋体" w:cs="Times New Roman"/>
                <w:snapToGrid/>
                <w:color w:val="000000"/>
                <w:kern w:val="0"/>
                <w:sz w:val="24"/>
                <w:szCs w:val="24"/>
                <w:lang w:val="en-US" w:eastAsia="zh-CN" w:bidi="ar-SA"/>
              </w:rPr>
              <w:t>站厂界环境噪声排放执行《工业企业厂界环境噪声排放标准》（GB12348-2008）的要求</w:t>
            </w:r>
            <w:r>
              <w:rPr>
                <w:rFonts w:hint="eastAsia" w:ascii="Times New Roman" w:hAnsi="Times New Roman" w:eastAsia="宋体" w:cs="Times New Roman"/>
                <w:snapToGrid/>
                <w:color w:val="000000"/>
                <w:kern w:val="0"/>
                <w:sz w:val="24"/>
                <w:szCs w:val="24"/>
                <w:lang w:val="en-US" w:eastAsia="zh-CN" w:bidi="ar-SA"/>
              </w:rPr>
              <w:t>，施工期噪声排放执行《建筑施工场界环境噪声排放标准》（GB12523-2011）。</w:t>
            </w:r>
          </w:p>
          <w:p w14:paraId="69DBF106">
            <w:pPr>
              <w:pStyle w:val="2"/>
              <w:jc w:val="center"/>
              <w:rPr>
                <w:rFonts w:ascii="Times New Roman" w:hAnsi="Times New Roman" w:cs="Times New Roman"/>
                <w:b/>
                <w:bCs/>
              </w:rPr>
            </w:pPr>
            <w:r>
              <w:rPr>
                <w:rFonts w:hint="eastAsia" w:ascii="Times New Roman" w:hAnsi="Times New Roman" w:cs="Times New Roman"/>
                <w:b/>
                <w:bCs/>
                <w:lang w:eastAsia="zh-CN"/>
              </w:rPr>
              <w:t>表</w:t>
            </w:r>
            <w:r>
              <w:rPr>
                <w:rFonts w:hint="eastAsia" w:ascii="Times New Roman" w:hAnsi="Times New Roman" w:cs="Times New Roman"/>
                <w:b/>
                <w:bCs/>
                <w:lang w:val="en-US" w:eastAsia="zh-CN"/>
              </w:rPr>
              <w:t>3.2</w:t>
            </w:r>
            <w:r>
              <w:rPr>
                <w:rFonts w:ascii="Times New Roman" w:hAnsi="Times New Roman" w:cs="Times New Roman"/>
                <w:b/>
                <w:bCs/>
              </w:rPr>
              <w:t>标准执行一览表</w:t>
            </w:r>
          </w:p>
          <w:tbl>
            <w:tblPr>
              <w:tblStyle w:val="12"/>
              <w:tblW w:w="499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89"/>
              <w:gridCol w:w="1133"/>
              <w:gridCol w:w="3107"/>
              <w:gridCol w:w="3053"/>
            </w:tblGrid>
            <w:tr w14:paraId="65DFDF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58" w:hRule="atLeast"/>
                <w:jc w:val="center"/>
              </w:trPr>
              <w:tc>
                <w:tcPr>
                  <w:tcW w:w="597" w:type="pct"/>
                  <w:noWrap w:val="0"/>
                  <w:vAlign w:val="center"/>
                </w:tcPr>
                <w:p w14:paraId="62884C37">
                  <w:pPr>
                    <w:pStyle w:val="2"/>
                    <w:jc w:val="center"/>
                    <w:rPr>
                      <w:rFonts w:hint="eastAsia" w:ascii="Times New Roman" w:hAnsi="Times New Roman" w:cs="Times New Roman"/>
                      <w:b/>
                      <w:bCs/>
                      <w:sz w:val="21"/>
                      <w:szCs w:val="21"/>
                      <w:lang w:eastAsia="zh-CN"/>
                    </w:rPr>
                  </w:pPr>
                  <w:r>
                    <w:rPr>
                      <w:rFonts w:hint="eastAsia" w:ascii="Times New Roman" w:hAnsi="Times New Roman" w:cs="Times New Roman"/>
                      <w:b/>
                      <w:bCs/>
                      <w:sz w:val="21"/>
                      <w:szCs w:val="21"/>
                      <w:lang w:eastAsia="zh-CN"/>
                    </w:rPr>
                    <w:t>类别</w:t>
                  </w:r>
                </w:p>
              </w:tc>
              <w:tc>
                <w:tcPr>
                  <w:tcW w:w="684" w:type="pct"/>
                  <w:noWrap w:val="0"/>
                  <w:vAlign w:val="center"/>
                </w:tcPr>
                <w:p w14:paraId="339E0B61">
                  <w:pPr>
                    <w:pStyle w:val="2"/>
                    <w:jc w:val="center"/>
                    <w:rPr>
                      <w:rFonts w:ascii="Times New Roman" w:hAnsi="Times New Roman" w:cs="Times New Roman"/>
                      <w:b/>
                      <w:bCs/>
                      <w:sz w:val="21"/>
                      <w:szCs w:val="21"/>
                    </w:rPr>
                  </w:pPr>
                  <w:r>
                    <w:rPr>
                      <w:rFonts w:ascii="Times New Roman" w:hAnsi="Times New Roman" w:cs="Times New Roman"/>
                      <w:b/>
                      <w:bCs/>
                      <w:sz w:val="21"/>
                      <w:szCs w:val="21"/>
                    </w:rPr>
                    <w:t>分类</w:t>
                  </w:r>
                </w:p>
              </w:tc>
              <w:tc>
                <w:tcPr>
                  <w:tcW w:w="1875" w:type="pct"/>
                  <w:noWrap w:val="0"/>
                  <w:vAlign w:val="center"/>
                </w:tcPr>
                <w:p w14:paraId="2D8A4A65">
                  <w:pPr>
                    <w:pStyle w:val="2"/>
                    <w:jc w:val="center"/>
                    <w:rPr>
                      <w:rFonts w:ascii="Times New Roman" w:hAnsi="Times New Roman" w:cs="Times New Roman"/>
                      <w:b/>
                      <w:bCs/>
                      <w:sz w:val="21"/>
                      <w:szCs w:val="21"/>
                    </w:rPr>
                  </w:pPr>
                  <w:r>
                    <w:rPr>
                      <w:rFonts w:ascii="Times New Roman" w:hAnsi="Times New Roman" w:cs="Times New Roman"/>
                      <w:b/>
                      <w:bCs/>
                      <w:sz w:val="21"/>
                      <w:szCs w:val="21"/>
                    </w:rPr>
                    <w:t>环境质量标准</w:t>
                  </w:r>
                </w:p>
              </w:tc>
              <w:tc>
                <w:tcPr>
                  <w:tcW w:w="1842" w:type="pct"/>
                  <w:noWrap w:val="0"/>
                  <w:vAlign w:val="center"/>
                </w:tcPr>
                <w:p w14:paraId="70925382">
                  <w:pPr>
                    <w:pStyle w:val="2"/>
                    <w:jc w:val="center"/>
                    <w:rPr>
                      <w:rFonts w:hint="eastAsia" w:ascii="Times New Roman" w:hAnsi="Times New Roman" w:cs="Times New Roman"/>
                      <w:b/>
                      <w:bCs/>
                      <w:sz w:val="21"/>
                      <w:szCs w:val="21"/>
                      <w:lang w:eastAsia="zh-CN"/>
                    </w:rPr>
                  </w:pPr>
                  <w:r>
                    <w:rPr>
                      <w:rFonts w:hint="eastAsia" w:ascii="Times New Roman" w:hAnsi="Times New Roman" w:cs="Times New Roman"/>
                      <w:b/>
                      <w:bCs/>
                      <w:sz w:val="21"/>
                      <w:szCs w:val="21"/>
                      <w:lang w:eastAsia="zh-CN"/>
                    </w:rPr>
                    <w:t>数值</w:t>
                  </w:r>
                </w:p>
              </w:tc>
            </w:tr>
            <w:tr w14:paraId="1D37C6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jc w:val="center"/>
              </w:trPr>
              <w:tc>
                <w:tcPr>
                  <w:tcW w:w="597" w:type="pct"/>
                  <w:vMerge w:val="restart"/>
                  <w:noWrap w:val="0"/>
                  <w:vAlign w:val="center"/>
                </w:tcPr>
                <w:p w14:paraId="128E7D96">
                  <w:pPr>
                    <w:pStyle w:val="2"/>
                    <w:jc w:val="center"/>
                    <w:rPr>
                      <w:rFonts w:hint="eastAsia" w:ascii="Times New Roman" w:hAnsi="Times New Roman" w:cs="Times New Roman"/>
                      <w:sz w:val="21"/>
                      <w:szCs w:val="21"/>
                      <w:lang w:eastAsia="zh-CN"/>
                    </w:rPr>
                  </w:pPr>
                  <w:r>
                    <w:rPr>
                      <w:rFonts w:hint="eastAsia" w:ascii="Times New Roman" w:hAnsi="Times New Roman" w:cs="Times New Roman"/>
                      <w:sz w:val="21"/>
                      <w:szCs w:val="21"/>
                      <w:lang w:eastAsia="zh-CN"/>
                    </w:rPr>
                    <w:t>污染物排放标准</w:t>
                  </w:r>
                </w:p>
              </w:tc>
              <w:tc>
                <w:tcPr>
                  <w:tcW w:w="684" w:type="pct"/>
                  <w:noWrap w:val="0"/>
                  <w:vAlign w:val="center"/>
                </w:tcPr>
                <w:p w14:paraId="749B5F87">
                  <w:pPr>
                    <w:pStyle w:val="2"/>
                    <w:jc w:val="center"/>
                    <w:rPr>
                      <w:rFonts w:hint="eastAsia" w:ascii="Times New Roman" w:hAnsi="Times New Roman" w:cs="Times New Roman"/>
                      <w:sz w:val="21"/>
                      <w:szCs w:val="21"/>
                      <w:lang w:eastAsia="zh-CN"/>
                    </w:rPr>
                  </w:pPr>
                  <w:r>
                    <w:rPr>
                      <w:rFonts w:hint="eastAsia" w:ascii="Times New Roman" w:hAnsi="Times New Roman" w:cs="Times New Roman"/>
                      <w:sz w:val="21"/>
                      <w:szCs w:val="21"/>
                      <w:lang w:eastAsia="zh-CN"/>
                    </w:rPr>
                    <w:t>场界噪声</w:t>
                  </w:r>
                </w:p>
              </w:tc>
              <w:tc>
                <w:tcPr>
                  <w:tcW w:w="1875" w:type="pct"/>
                  <w:noWrap w:val="0"/>
                  <w:vAlign w:val="center"/>
                </w:tcPr>
                <w:p w14:paraId="7C0EAED7">
                  <w:pPr>
                    <w:pStyle w:val="2"/>
                    <w:jc w:val="center"/>
                    <w:rPr>
                      <w:rFonts w:ascii="Times New Roman" w:hAnsi="Times New Roman" w:cs="Times New Roman"/>
                      <w:spacing w:val="-3"/>
                      <w:sz w:val="21"/>
                      <w:szCs w:val="21"/>
                      <w:lang w:eastAsia="zh-CN"/>
                    </w:rPr>
                  </w:pPr>
                  <w:r>
                    <w:rPr>
                      <w:rFonts w:ascii="Times New Roman" w:hAnsi="Times New Roman" w:cs="Times New Roman"/>
                      <w:sz w:val="21"/>
                      <w:szCs w:val="21"/>
                      <w:lang w:eastAsia="zh-CN"/>
                    </w:rPr>
                    <w:t>《工业企业厂界环境噪</w:t>
                  </w:r>
                  <w:r>
                    <w:rPr>
                      <w:rFonts w:ascii="Times New Roman" w:hAnsi="Times New Roman" w:cs="Times New Roman"/>
                      <w:spacing w:val="-2"/>
                      <w:sz w:val="21"/>
                      <w:szCs w:val="21"/>
                      <w:lang w:eastAsia="zh-CN"/>
                    </w:rPr>
                    <w:t>声排放标准》</w:t>
                  </w:r>
                  <w:r>
                    <w:rPr>
                      <w:rFonts w:ascii="Times New Roman" w:hAnsi="Times New Roman" w:cs="Times New Roman"/>
                      <w:sz w:val="21"/>
                      <w:szCs w:val="21"/>
                      <w:lang w:eastAsia="zh-CN"/>
                    </w:rPr>
                    <w:t>（GB12348-2008）</w:t>
                  </w:r>
                </w:p>
              </w:tc>
              <w:tc>
                <w:tcPr>
                  <w:tcW w:w="1842" w:type="pct"/>
                  <w:noWrap w:val="0"/>
                  <w:vAlign w:val="center"/>
                </w:tcPr>
                <w:p w14:paraId="33D61F1A">
                  <w:pPr>
                    <w:pStyle w:val="2"/>
                    <w:jc w:val="center"/>
                    <w:rPr>
                      <w:rFonts w:ascii="Times New Roman" w:hAnsi="Times New Roman" w:cs="Times New Roman"/>
                      <w:sz w:val="21"/>
                      <w:szCs w:val="21"/>
                    </w:rPr>
                  </w:pPr>
                  <w:r>
                    <w:rPr>
                      <w:rFonts w:ascii="Times New Roman" w:hAnsi="Times New Roman" w:cs="Times New Roman"/>
                      <w:sz w:val="21"/>
                      <w:szCs w:val="21"/>
                      <w:lang w:eastAsia="zh-CN"/>
                    </w:rPr>
                    <w:t>2</w:t>
                  </w:r>
                  <w:r>
                    <w:rPr>
                      <w:rFonts w:ascii="Times New Roman" w:hAnsi="Times New Roman" w:cs="Times New Roman"/>
                      <w:spacing w:val="-3"/>
                      <w:sz w:val="21"/>
                      <w:szCs w:val="21"/>
                    </w:rPr>
                    <w:t>类</w:t>
                  </w:r>
                  <w:r>
                    <w:rPr>
                      <w:rFonts w:ascii="Times New Roman" w:hAnsi="Times New Roman" w:cs="Times New Roman"/>
                      <w:sz w:val="21"/>
                      <w:szCs w:val="21"/>
                      <w:lang w:eastAsia="zh-CN"/>
                    </w:rPr>
                    <w:t>（</w:t>
                  </w:r>
                  <w:r>
                    <w:rPr>
                      <w:rFonts w:hint="eastAsia" w:ascii="Times New Roman" w:hAnsi="Times New Roman" w:cs="Times New Roman"/>
                      <w:sz w:val="21"/>
                      <w:szCs w:val="21"/>
                      <w:lang w:eastAsia="zh-CN"/>
                    </w:rPr>
                    <w:t>昼间</w:t>
                  </w:r>
                  <w:r>
                    <w:rPr>
                      <w:rFonts w:ascii="Times New Roman" w:hAnsi="Times New Roman" w:cs="Times New Roman"/>
                      <w:sz w:val="21"/>
                      <w:szCs w:val="21"/>
                      <w:lang w:eastAsia="zh-CN"/>
                    </w:rPr>
                    <w:t>60/</w:t>
                  </w:r>
                  <w:r>
                    <w:rPr>
                      <w:rFonts w:hint="eastAsia" w:ascii="Times New Roman" w:hAnsi="Times New Roman" w:cs="Times New Roman"/>
                      <w:sz w:val="21"/>
                      <w:szCs w:val="21"/>
                      <w:lang w:eastAsia="zh-CN"/>
                    </w:rPr>
                    <w:t>夜间</w:t>
                  </w:r>
                  <w:r>
                    <w:rPr>
                      <w:rFonts w:ascii="Times New Roman" w:hAnsi="Times New Roman" w:cs="Times New Roman"/>
                      <w:sz w:val="21"/>
                      <w:szCs w:val="21"/>
                      <w:lang w:eastAsia="zh-CN"/>
                    </w:rPr>
                    <w:t>50）</w:t>
                  </w:r>
                </w:p>
              </w:tc>
            </w:tr>
            <w:tr w14:paraId="322349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3" w:hRule="atLeast"/>
                <w:jc w:val="center"/>
              </w:trPr>
              <w:tc>
                <w:tcPr>
                  <w:tcW w:w="597" w:type="pct"/>
                  <w:vMerge w:val="continue"/>
                  <w:noWrap w:val="0"/>
                  <w:vAlign w:val="center"/>
                </w:tcPr>
                <w:p w14:paraId="23A269BC">
                  <w:pPr>
                    <w:pStyle w:val="2"/>
                    <w:jc w:val="center"/>
                    <w:rPr>
                      <w:rFonts w:ascii="Times New Roman" w:hAnsi="Times New Roman" w:cs="Times New Roman"/>
                      <w:sz w:val="21"/>
                      <w:szCs w:val="21"/>
                    </w:rPr>
                  </w:pPr>
                </w:p>
              </w:tc>
              <w:tc>
                <w:tcPr>
                  <w:tcW w:w="684" w:type="pct"/>
                  <w:noWrap w:val="0"/>
                  <w:vAlign w:val="center"/>
                </w:tcPr>
                <w:p w14:paraId="29CF40E4">
                  <w:pPr>
                    <w:pStyle w:val="2"/>
                    <w:jc w:val="center"/>
                    <w:rPr>
                      <w:rFonts w:ascii="Times New Roman" w:hAnsi="Times New Roman" w:cs="Times New Roman"/>
                      <w:sz w:val="21"/>
                      <w:szCs w:val="21"/>
                    </w:rPr>
                  </w:pPr>
                  <w:r>
                    <w:rPr>
                      <w:rFonts w:ascii="Times New Roman" w:hAnsi="Times New Roman" w:cs="Times New Roman"/>
                      <w:spacing w:val="-3"/>
                      <w:sz w:val="21"/>
                      <w:szCs w:val="21"/>
                    </w:rPr>
                    <w:t>施工噪声</w:t>
                  </w:r>
                </w:p>
              </w:tc>
              <w:tc>
                <w:tcPr>
                  <w:tcW w:w="1875" w:type="pct"/>
                  <w:noWrap w:val="0"/>
                  <w:vAlign w:val="center"/>
                </w:tcPr>
                <w:p w14:paraId="452B4B57">
                  <w:pPr>
                    <w:pStyle w:val="2"/>
                    <w:jc w:val="center"/>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《建筑施工场界环境噪声排放</w:t>
                  </w:r>
                  <w:r>
                    <w:rPr>
                      <w:rFonts w:ascii="Times New Roman" w:hAnsi="Times New Roman" w:cs="Times New Roman"/>
                      <w:sz w:val="21"/>
                      <w:szCs w:val="21"/>
                      <w:lang w:eastAsia="zh-CN"/>
                    </w:rPr>
                    <w:t>标准》（GB12523-2011）</w:t>
                  </w:r>
                </w:p>
              </w:tc>
              <w:tc>
                <w:tcPr>
                  <w:tcW w:w="1842" w:type="pct"/>
                  <w:noWrap w:val="0"/>
                  <w:vAlign w:val="center"/>
                </w:tcPr>
                <w:p w14:paraId="0E9F8376">
                  <w:pPr>
                    <w:pStyle w:val="2"/>
                    <w:jc w:val="center"/>
                    <w:rPr>
                      <w:rFonts w:ascii="Times New Roman" w:hAnsi="Times New Roman" w:cs="Times New Roman"/>
                      <w:sz w:val="21"/>
                      <w:szCs w:val="21"/>
                      <w:lang w:eastAsia="zh-CN"/>
                    </w:rPr>
                  </w:pPr>
                  <w:r>
                    <w:rPr>
                      <w:rFonts w:ascii="Times New Roman" w:hAnsi="Times New Roman" w:cs="Times New Roman"/>
                      <w:sz w:val="21"/>
                      <w:szCs w:val="21"/>
                      <w:lang w:eastAsia="zh-CN"/>
                    </w:rPr>
                    <w:t>（</w:t>
                  </w:r>
                  <w:r>
                    <w:rPr>
                      <w:rFonts w:hint="eastAsia" w:ascii="Times New Roman" w:hAnsi="Times New Roman" w:cs="Times New Roman"/>
                      <w:sz w:val="21"/>
                      <w:szCs w:val="21"/>
                      <w:lang w:eastAsia="zh-CN"/>
                    </w:rPr>
                    <w:t>昼间70</w:t>
                  </w:r>
                  <w:r>
                    <w:rPr>
                      <w:rFonts w:ascii="Times New Roman" w:hAnsi="Times New Roman" w:cs="Times New Roman"/>
                      <w:sz w:val="21"/>
                      <w:szCs w:val="21"/>
                      <w:lang w:eastAsia="zh-CN"/>
                    </w:rPr>
                    <w:t>/</w:t>
                  </w:r>
                  <w:r>
                    <w:rPr>
                      <w:rFonts w:hint="eastAsia" w:ascii="Times New Roman" w:hAnsi="Times New Roman" w:cs="Times New Roman"/>
                      <w:sz w:val="21"/>
                      <w:szCs w:val="21"/>
                      <w:lang w:eastAsia="zh-CN"/>
                    </w:rPr>
                    <w:t>夜间</w:t>
                  </w:r>
                  <w:r>
                    <w:rPr>
                      <w:rFonts w:ascii="Times New Roman" w:hAnsi="Times New Roman" w:cs="Times New Roman"/>
                      <w:sz w:val="21"/>
                      <w:szCs w:val="21"/>
                      <w:lang w:eastAsia="zh-CN"/>
                    </w:rPr>
                    <w:t>5</w:t>
                  </w:r>
                  <w:r>
                    <w:rPr>
                      <w:rFonts w:hint="eastAsia" w:ascii="Times New Roman" w:hAnsi="Times New Roman" w:cs="Times New Roman"/>
                      <w:sz w:val="21"/>
                      <w:szCs w:val="21"/>
                      <w:lang w:eastAsia="zh-CN"/>
                    </w:rPr>
                    <w:t>5</w:t>
                  </w:r>
                  <w:r>
                    <w:rPr>
                      <w:rFonts w:ascii="Times New Roman" w:hAnsi="Times New Roman" w:cs="Times New Roman"/>
                      <w:sz w:val="21"/>
                      <w:szCs w:val="21"/>
                      <w:lang w:eastAsia="zh-CN"/>
                    </w:rPr>
                    <w:t>）</w:t>
                  </w:r>
                </w:p>
              </w:tc>
            </w:tr>
          </w:tbl>
          <w:p w14:paraId="3C2660B4">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napToGrid/>
                <w:color w:val="000000"/>
                <w:kern w:val="0"/>
                <w:sz w:val="24"/>
                <w:szCs w:val="24"/>
                <w:lang w:val="en-US" w:eastAsia="zh-CN" w:bidi="ar-SA"/>
              </w:rPr>
            </w:pPr>
          </w:p>
        </w:tc>
      </w:tr>
      <w:tr w14:paraId="123F746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831" w:hRule="atLeast"/>
        </w:trPr>
        <w:tc>
          <w:tcPr>
            <w:tcW w:w="5000" w:type="pct"/>
            <w:tcBorders>
              <w:tl2br w:val="nil"/>
              <w:tr2bl w:val="nil"/>
            </w:tcBorders>
            <w:vAlign w:val="top"/>
          </w:tcPr>
          <w:p w14:paraId="1A74B289">
            <w:pPr>
              <w:widowControl/>
              <w:kinsoku/>
              <w:autoSpaceDE/>
              <w:autoSpaceDN/>
              <w:adjustRightInd/>
              <w:snapToGrid/>
              <w:spacing w:line="240" w:lineRule="auto"/>
              <w:jc w:val="both"/>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其他标准和</w:t>
            </w:r>
            <w:r>
              <w:rPr>
                <w:rFonts w:hint="eastAsia" w:ascii="Times New Roman" w:hAnsi="Times New Roman" w:eastAsia="宋体" w:cs="Times New Roman"/>
                <w:b/>
                <w:bCs/>
                <w:snapToGrid/>
                <w:color w:val="000000"/>
                <w:kern w:val="0"/>
                <w:sz w:val="24"/>
                <w:szCs w:val="24"/>
                <w:lang w:val="en-US" w:eastAsia="zh-CN" w:bidi="ar-SA"/>
              </w:rPr>
              <w:t>要求</w:t>
            </w:r>
          </w:p>
          <w:p w14:paraId="656DAECF">
            <w:pPr>
              <w:widowControl/>
              <w:kinsoku/>
              <w:autoSpaceDE/>
              <w:autoSpaceDN/>
              <w:adjustRightInd/>
              <w:snapToGrid/>
              <w:spacing w:line="24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r>
              <w:rPr>
                <w:rFonts w:hint="eastAsia" w:ascii="Times New Roman" w:hAnsi="Times New Roman" w:eastAsia="宋体" w:cs="Times New Roman"/>
                <w:b/>
                <w:bCs/>
                <w:snapToGrid/>
                <w:color w:val="000000"/>
                <w:kern w:val="0"/>
                <w:sz w:val="24"/>
                <w:szCs w:val="24"/>
                <w:lang w:val="en-US" w:eastAsia="zh-CN" w:bidi="ar-SA"/>
              </w:rPr>
              <w:t>无</w:t>
            </w:r>
          </w:p>
          <w:p w14:paraId="324850F1">
            <w:pPr>
              <w:widowControl/>
              <w:kinsoku/>
              <w:autoSpaceDE/>
              <w:autoSpaceDN/>
              <w:adjustRightInd/>
              <w:snapToGrid/>
              <w:spacing w:line="24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5FEA5DFB">
            <w:pPr>
              <w:widowControl/>
              <w:kinsoku/>
              <w:autoSpaceDE/>
              <w:autoSpaceDN/>
              <w:adjustRightInd/>
              <w:snapToGrid/>
              <w:spacing w:line="24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46E6E80F">
            <w:pPr>
              <w:widowControl/>
              <w:kinsoku/>
              <w:autoSpaceDE/>
              <w:autoSpaceDN/>
              <w:adjustRightInd/>
              <w:snapToGrid/>
              <w:spacing w:line="24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014847A6">
            <w:pPr>
              <w:widowControl/>
              <w:kinsoku/>
              <w:autoSpaceDE/>
              <w:autoSpaceDN/>
              <w:adjustRightInd/>
              <w:snapToGrid/>
              <w:spacing w:line="24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0799D21F">
            <w:pPr>
              <w:widowControl/>
              <w:kinsoku/>
              <w:autoSpaceDE/>
              <w:autoSpaceDN/>
              <w:adjustRightInd/>
              <w:snapToGrid/>
              <w:spacing w:line="24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317B336E">
            <w:pPr>
              <w:widowControl/>
              <w:kinsoku/>
              <w:autoSpaceDE/>
              <w:autoSpaceDN/>
              <w:adjustRightInd/>
              <w:snapToGrid/>
              <w:spacing w:line="24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39FC22B8">
            <w:pPr>
              <w:widowControl/>
              <w:kinsoku/>
              <w:autoSpaceDE/>
              <w:autoSpaceDN/>
              <w:adjustRightInd/>
              <w:snapToGrid/>
              <w:spacing w:line="24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1FAC0D39">
            <w:pPr>
              <w:widowControl/>
              <w:kinsoku/>
              <w:autoSpaceDE/>
              <w:autoSpaceDN/>
              <w:adjustRightInd/>
              <w:snapToGrid/>
              <w:spacing w:line="24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26750C63">
            <w:pPr>
              <w:widowControl/>
              <w:kinsoku/>
              <w:autoSpaceDE/>
              <w:autoSpaceDN/>
              <w:adjustRightInd/>
              <w:snapToGrid/>
              <w:spacing w:line="24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52099193">
            <w:pPr>
              <w:widowControl/>
              <w:kinsoku/>
              <w:autoSpaceDE/>
              <w:autoSpaceDN/>
              <w:adjustRightInd/>
              <w:snapToGrid/>
              <w:spacing w:line="24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6F171488">
            <w:pPr>
              <w:widowControl/>
              <w:kinsoku/>
              <w:autoSpaceDE/>
              <w:autoSpaceDN/>
              <w:adjustRightInd/>
              <w:snapToGrid/>
              <w:spacing w:line="24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0C1A55B0">
            <w:pPr>
              <w:widowControl/>
              <w:kinsoku/>
              <w:autoSpaceDE/>
              <w:autoSpaceDN/>
              <w:adjustRightInd/>
              <w:snapToGrid/>
              <w:spacing w:line="24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69F437AF">
            <w:pPr>
              <w:widowControl/>
              <w:kinsoku/>
              <w:autoSpaceDE/>
              <w:autoSpaceDN/>
              <w:adjustRightInd/>
              <w:snapToGrid/>
              <w:spacing w:line="24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6B797741">
            <w:pPr>
              <w:widowControl/>
              <w:kinsoku/>
              <w:autoSpaceDE/>
              <w:autoSpaceDN/>
              <w:adjustRightInd/>
              <w:snapToGrid/>
              <w:spacing w:line="24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5AE15D77">
            <w:pPr>
              <w:widowControl/>
              <w:kinsoku/>
              <w:autoSpaceDE/>
              <w:autoSpaceDN/>
              <w:adjustRightInd/>
              <w:snapToGrid/>
              <w:spacing w:line="24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55191039">
            <w:pPr>
              <w:widowControl/>
              <w:kinsoku/>
              <w:autoSpaceDE/>
              <w:autoSpaceDN/>
              <w:adjustRightInd/>
              <w:snapToGrid/>
              <w:spacing w:line="24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374E9AFA">
            <w:pPr>
              <w:widowControl/>
              <w:kinsoku/>
              <w:autoSpaceDE/>
              <w:autoSpaceDN/>
              <w:adjustRightInd/>
              <w:snapToGrid/>
              <w:spacing w:line="24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2C4CFC78">
            <w:pPr>
              <w:widowControl/>
              <w:kinsoku/>
              <w:autoSpaceDE/>
              <w:autoSpaceDN/>
              <w:adjustRightInd/>
              <w:snapToGrid/>
              <w:spacing w:line="24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0643B33E">
            <w:pPr>
              <w:widowControl/>
              <w:kinsoku/>
              <w:autoSpaceDE/>
              <w:autoSpaceDN/>
              <w:adjustRightInd/>
              <w:snapToGrid/>
              <w:spacing w:line="24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041B03D4">
            <w:pPr>
              <w:widowControl/>
              <w:kinsoku/>
              <w:autoSpaceDE/>
              <w:autoSpaceDN/>
              <w:adjustRightInd/>
              <w:snapToGrid/>
              <w:spacing w:line="240" w:lineRule="auto"/>
              <w:jc w:val="both"/>
              <w:textAlignment w:val="auto"/>
              <w:rPr>
                <w:rFonts w:hint="default" w:ascii="Times New Roman" w:hAnsi="Times New Roman" w:eastAsia="宋体" w:cs="Times New Roman"/>
                <w:snapToGrid/>
                <w:color w:val="000000"/>
                <w:kern w:val="0"/>
                <w:sz w:val="24"/>
                <w:szCs w:val="24"/>
                <w:lang w:val="en-US" w:eastAsia="zh-CN" w:bidi="ar-SA"/>
              </w:rPr>
            </w:pPr>
          </w:p>
        </w:tc>
      </w:tr>
    </w:tbl>
    <w:p w14:paraId="0E2400C4">
      <w:pPr>
        <w:spacing w:line="171" w:lineRule="exact"/>
        <w:rPr>
          <w:rFonts w:ascii="Arial"/>
          <w:sz w:val="14"/>
        </w:rPr>
      </w:pPr>
    </w:p>
    <w:p w14:paraId="3B411657">
      <w:pPr>
        <w:sectPr>
          <w:headerReference r:id="rId6" w:type="default"/>
          <w:footerReference r:id="rId7" w:type="default"/>
          <w:pgSz w:w="11905" w:h="16838"/>
          <w:pgMar w:top="1440" w:right="1803" w:bottom="1440" w:left="1803" w:header="1457" w:footer="992" w:gutter="0"/>
          <w:pgBorders>
            <w:top w:val="none" w:sz="0" w:space="0"/>
            <w:left w:val="none" w:sz="0" w:space="0"/>
            <w:bottom w:val="none" w:sz="0" w:space="0"/>
            <w:right w:val="none" w:sz="0" w:space="0"/>
          </w:pgBorders>
          <w:pgNumType w:fmt="decimal"/>
          <w:cols w:space="0" w:num="1"/>
          <w:rtlGutter w:val="0"/>
          <w:docGrid w:linePitch="0" w:charSpace="0"/>
        </w:sectPr>
      </w:pPr>
    </w:p>
    <w:p w14:paraId="7746CFAF">
      <w:pPr>
        <w:widowControl/>
        <w:kinsoku/>
        <w:autoSpaceDE/>
        <w:autoSpaceDN/>
        <w:adjustRightInd/>
        <w:snapToGrid/>
        <w:spacing w:line="360" w:lineRule="auto"/>
        <w:jc w:val="center"/>
        <w:textAlignment w:val="auto"/>
        <w:rPr>
          <w:rFonts w:hint="default" w:ascii="Times New Roman" w:hAnsi="Times New Roman" w:eastAsia="黑体" w:cs="Times New Roman"/>
          <w:b/>
          <w:bCs/>
          <w:snapToGrid/>
          <w:color w:val="000000"/>
          <w:kern w:val="0"/>
          <w:sz w:val="28"/>
          <w:szCs w:val="28"/>
          <w:lang w:val="en-US" w:eastAsia="zh-CN" w:bidi="ar-SA"/>
        </w:rPr>
      </w:pPr>
      <w:r>
        <w:rPr>
          <w:rFonts w:hint="default" w:ascii="Times New Roman" w:hAnsi="Times New Roman" w:eastAsia="黑体" w:cs="Times New Roman"/>
          <w:b/>
          <w:bCs/>
          <w:snapToGrid/>
          <w:color w:val="000000"/>
          <w:kern w:val="0"/>
          <w:sz w:val="28"/>
          <w:szCs w:val="28"/>
          <w:lang w:val="en-US" w:eastAsia="zh-CN" w:bidi="ar-SA"/>
        </w:rPr>
        <w:t>表4建设项目概况</w:t>
      </w:r>
    </w:p>
    <w:p w14:paraId="7A9DCBBC">
      <w:pPr>
        <w:spacing w:line="118" w:lineRule="auto"/>
        <w:rPr>
          <w:rFonts w:ascii="Arial"/>
          <w:sz w:val="2"/>
        </w:rPr>
      </w:pPr>
    </w:p>
    <w:tbl>
      <w:tblPr>
        <w:tblStyle w:val="16"/>
        <w:tblW w:w="5018"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8359"/>
      </w:tblGrid>
      <w:tr w14:paraId="6AF47D8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818" w:hRule="atLeast"/>
          <w:jc w:val="center"/>
        </w:trPr>
        <w:tc>
          <w:tcPr>
            <w:tcW w:w="5000" w:type="pct"/>
            <w:tcBorders>
              <w:tl2br w:val="nil"/>
              <w:tr2bl w:val="nil"/>
            </w:tcBorders>
            <w:vAlign w:val="center"/>
          </w:tcPr>
          <w:p w14:paraId="666E08E1">
            <w:pPr>
              <w:widowControl/>
              <w:kinsoku/>
              <w:autoSpaceDE/>
              <w:autoSpaceDN/>
              <w:adjustRightInd/>
              <w:snapToGrid/>
              <w:spacing w:line="360" w:lineRule="auto"/>
              <w:jc w:val="both"/>
              <w:textAlignment w:val="auto"/>
              <w:rPr>
                <w:rFonts w:hint="eastAsia"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项目建设地点</w:t>
            </w:r>
            <w:r>
              <w:rPr>
                <w:rFonts w:hint="eastAsia" w:ascii="Times New Roman" w:hAnsi="Times New Roman" w:eastAsia="宋体" w:cs="Times New Roman"/>
                <w:b/>
                <w:bCs/>
                <w:snapToGrid/>
                <w:color w:val="000000"/>
                <w:kern w:val="0"/>
                <w:sz w:val="24"/>
                <w:szCs w:val="24"/>
                <w:lang w:val="en-US" w:eastAsia="zh-CN" w:bidi="ar-SA"/>
              </w:rPr>
              <w:t>（</w:t>
            </w:r>
            <w:r>
              <w:rPr>
                <w:rFonts w:hint="default" w:ascii="Times New Roman" w:hAnsi="Times New Roman" w:eastAsia="宋体" w:cs="Times New Roman"/>
                <w:b/>
                <w:bCs/>
                <w:snapToGrid/>
                <w:color w:val="000000"/>
                <w:kern w:val="0"/>
                <w:sz w:val="24"/>
                <w:szCs w:val="24"/>
                <w:lang w:val="en-US" w:eastAsia="zh-CN" w:bidi="ar-SA"/>
              </w:rPr>
              <w:t>附地理位置示意图</w:t>
            </w:r>
            <w:r>
              <w:rPr>
                <w:rFonts w:hint="eastAsia" w:ascii="Times New Roman" w:hAnsi="Times New Roman" w:eastAsia="宋体" w:cs="Times New Roman"/>
                <w:b/>
                <w:bCs/>
                <w:snapToGrid/>
                <w:color w:val="000000"/>
                <w:kern w:val="0"/>
                <w:sz w:val="24"/>
                <w:szCs w:val="24"/>
                <w:lang w:val="en-US" w:eastAsia="zh-CN" w:bidi="ar-SA"/>
              </w:rPr>
              <w:t>）</w:t>
            </w:r>
          </w:p>
          <w:p w14:paraId="2BCDE87B">
            <w:pPr>
              <w:widowControl/>
              <w:kinsoku/>
              <w:autoSpaceDE/>
              <w:autoSpaceDN/>
              <w:adjustRightInd/>
              <w:snapToGrid/>
              <w:spacing w:line="360" w:lineRule="auto"/>
              <w:ind w:firstLine="480" w:firstLineChars="200"/>
              <w:jc w:val="both"/>
              <w:textAlignment w:val="auto"/>
            </w:pPr>
            <w:r>
              <w:rPr>
                <w:rFonts w:hint="eastAsia" w:ascii="Times New Roman" w:hAnsi="Times New Roman" w:eastAsia="宋体" w:cs="Times New Roman"/>
                <w:b w:val="0"/>
                <w:bCs w:val="0"/>
                <w:snapToGrid/>
                <w:color w:val="000000"/>
                <w:kern w:val="0"/>
                <w:sz w:val="24"/>
                <w:szCs w:val="24"/>
                <w:lang w:val="en-US" w:eastAsia="zh-CN" w:bidi="ar-SA"/>
              </w:rPr>
              <w:t>项目位于安徽省阜阳市颍上县江店孜镇坡杨路东侧</w:t>
            </w:r>
            <w:r>
              <w:rPr>
                <w:rFonts w:hint="eastAsia" w:eastAsia="宋体"/>
                <w:b w:val="0"/>
                <w:bCs w:val="0"/>
                <w:color w:val="000000"/>
                <w:sz w:val="24"/>
                <w:szCs w:val="24"/>
                <w:lang w:eastAsia="zh-CN"/>
              </w:rPr>
              <w:t>，具体位置如图所示：</w:t>
            </w:r>
            <w:r>
              <w:drawing>
                <wp:inline distT="0" distB="0" distL="114300" distR="114300">
                  <wp:extent cx="5266690" cy="3319145"/>
                  <wp:effectExtent l="12700" t="12700" r="16510" b="20955"/>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21"/>
                          <a:stretch>
                            <a:fillRect/>
                          </a:stretch>
                        </pic:blipFill>
                        <pic:spPr>
                          <a:xfrm>
                            <a:off x="0" y="0"/>
                            <a:ext cx="5266690" cy="3319145"/>
                          </a:xfrm>
                          <a:prstGeom prst="rect">
                            <a:avLst/>
                          </a:prstGeom>
                          <a:noFill/>
                          <a:ln w="12700" cmpd="sng">
                            <a:solidFill>
                              <a:schemeClr val="tx1"/>
                            </a:solidFill>
                            <a:prstDash val="solid"/>
                          </a:ln>
                        </pic:spPr>
                      </pic:pic>
                    </a:graphicData>
                  </a:graphic>
                </wp:inline>
              </w:drawing>
            </w:r>
          </w:p>
          <w:p w14:paraId="6B8FEC95">
            <w:pPr>
              <w:widowControl/>
              <w:kinsoku/>
              <w:autoSpaceDE/>
              <w:autoSpaceDN/>
              <w:adjustRightInd/>
              <w:snapToGrid/>
              <w:spacing w:line="360" w:lineRule="auto"/>
              <w:ind w:firstLine="482" w:firstLineChars="200"/>
              <w:jc w:val="center"/>
              <w:textAlignment w:val="auto"/>
              <w:rPr>
                <w:rFonts w:hint="default" w:eastAsia="宋体"/>
                <w:lang w:val="en-US" w:eastAsia="zh-CN"/>
              </w:rPr>
            </w:pPr>
            <w:r>
              <w:rPr>
                <w:rFonts w:hint="default" w:ascii="Times New Roman" w:hAnsi="Times New Roman" w:eastAsia="宋体" w:cs="Times New Roman"/>
                <w:b/>
                <w:bCs/>
                <w:sz w:val="24"/>
                <w:szCs w:val="24"/>
                <w:lang w:val="en-US" w:eastAsia="zh-CN"/>
              </w:rPr>
              <w:t>图4.1项目地理位置示意图</w:t>
            </w:r>
          </w:p>
        </w:tc>
      </w:tr>
      <w:tr w14:paraId="042153B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215" w:hRule="atLeast"/>
          <w:jc w:val="center"/>
        </w:trPr>
        <w:tc>
          <w:tcPr>
            <w:tcW w:w="5000" w:type="pct"/>
            <w:tcBorders>
              <w:tl2br w:val="nil"/>
              <w:tr2bl w:val="nil"/>
            </w:tcBorders>
            <w:vAlign w:val="center"/>
          </w:tcPr>
          <w:p w14:paraId="7AEC4A1B">
            <w:pPr>
              <w:pStyle w:val="11"/>
              <w:keepNext w:val="0"/>
              <w:keepLines w:val="0"/>
              <w:pageBreakBefore w:val="0"/>
              <w:widowControl/>
              <w:kinsoku/>
              <w:wordWrap/>
              <w:overflowPunct/>
              <w:topLinePunct/>
              <w:autoSpaceDE w:val="0"/>
              <w:autoSpaceDN w:val="0"/>
              <w:bidi w:val="0"/>
              <w:adjustRightInd w:val="0"/>
              <w:snapToGrid w:val="0"/>
              <w:spacing w:after="0" w:line="360" w:lineRule="auto"/>
              <w:ind w:left="0" w:leftChars="0" w:firstLine="480"/>
              <w:jc w:val="both"/>
              <w:textAlignment w:val="baseline"/>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主要建设内容及规模</w:t>
            </w:r>
          </w:p>
          <w:p w14:paraId="520CE0AF">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textAlignment w:val="baseline"/>
              <w:rPr>
                <w:rFonts w:hint="default" w:ascii="Times New Roman" w:hAnsi="Times New Roman" w:eastAsia="宋体" w:cs="Times New Roman"/>
                <w:sz w:val="24"/>
                <w:szCs w:val="24"/>
                <w:lang w:eastAsia="zh-CN"/>
              </w:rPr>
            </w:pPr>
            <w:r>
              <w:rPr>
                <w:rFonts w:hint="default" w:ascii="Times New Roman" w:hAnsi="Times New Roman" w:eastAsia="宋体" w:cs="Times New Roman"/>
                <w:kern w:val="21"/>
                <w:sz w:val="24"/>
                <w:szCs w:val="24"/>
                <w:lang w:val="en-US" w:eastAsia="zh-CN"/>
              </w:rPr>
              <w:t>新建一座110kV升压站，站内设有1台容量为100MVA的主变，户外GIS布</w:t>
            </w:r>
            <w:r>
              <w:rPr>
                <w:rFonts w:hint="eastAsia" w:ascii="Times New Roman" w:hAnsi="Times New Roman" w:eastAsia="宋体" w:cs="Times New Roman"/>
                <w:kern w:val="21"/>
                <w:sz w:val="24"/>
                <w:szCs w:val="24"/>
                <w:lang w:val="en-US" w:eastAsia="zh-CN"/>
              </w:rPr>
              <w:t>置，</w:t>
            </w:r>
            <w:r>
              <w:rPr>
                <w:rFonts w:hint="default" w:ascii="Times New Roman" w:hAnsi="Times New Roman" w:eastAsia="宋体" w:cs="Times New Roman"/>
                <w:kern w:val="21"/>
                <w:sz w:val="24"/>
                <w:szCs w:val="24"/>
                <w:lang w:val="en-US" w:eastAsia="zh-CN"/>
              </w:rPr>
              <w:t>升压站110kV侧采用线路-变压器组接线方式。项目送出系统拟采用1回110kV线路架空送出，110kV送出线路工程不在本次评价范围内</w:t>
            </w:r>
            <w:r>
              <w:rPr>
                <w:rFonts w:hint="default" w:ascii="Times New Roman" w:hAnsi="Times New Roman" w:eastAsia="宋体" w:cs="Times New Roman"/>
                <w:kern w:val="21"/>
                <w:sz w:val="24"/>
                <w:szCs w:val="24"/>
                <w:lang w:eastAsia="zh-CN"/>
              </w:rPr>
              <w:t>。</w:t>
            </w:r>
          </w:p>
          <w:p w14:paraId="1EE6E1DB">
            <w:pPr>
              <w:widowControl/>
              <w:kinsoku/>
              <w:autoSpaceDE/>
              <w:autoSpaceDN/>
              <w:adjustRightInd/>
              <w:snapToGrid/>
              <w:spacing w:line="36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r>
              <w:rPr>
                <w:rFonts w:hint="eastAsia" w:ascii="Times New Roman" w:hAnsi="Times New Roman" w:eastAsia="宋体" w:cs="Times New Roman"/>
                <w:b/>
                <w:bCs/>
                <w:snapToGrid/>
                <w:color w:val="000000"/>
                <w:kern w:val="0"/>
                <w:sz w:val="24"/>
                <w:szCs w:val="24"/>
                <w:lang w:val="en-US" w:eastAsia="zh-CN" w:bidi="ar-SA"/>
              </w:rPr>
              <w:t>表4.1建设内容组成对比一览表</w:t>
            </w:r>
          </w:p>
          <w:tbl>
            <w:tblPr>
              <w:tblStyle w:val="16"/>
              <w:tblW w:w="8286" w:type="dxa"/>
              <w:tblInd w:w="-11" w:type="dxa"/>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549"/>
              <w:gridCol w:w="945"/>
              <w:gridCol w:w="4413"/>
              <w:gridCol w:w="2379"/>
            </w:tblGrid>
            <w:tr w14:paraId="46772CF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331" w:type="pct"/>
                  <w:tcBorders>
                    <w:tl2br w:val="nil"/>
                    <w:tr2bl w:val="nil"/>
                  </w:tcBorders>
                  <w:vAlign w:val="center"/>
                </w:tcPr>
                <w:p w14:paraId="26BFD9AF">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r>
                    <w:rPr>
                      <w:b/>
                      <w:bCs/>
                      <w:spacing w:val="2"/>
                      <w:sz w:val="21"/>
                      <w:szCs w:val="21"/>
                    </w:rPr>
                    <w:t>工程</w:t>
                  </w:r>
                  <w:r>
                    <w:rPr>
                      <w:b/>
                      <w:bCs/>
                      <w:spacing w:val="3"/>
                      <w:sz w:val="21"/>
                      <w:szCs w:val="21"/>
                    </w:rPr>
                    <w:t>类别</w:t>
                  </w:r>
                </w:p>
              </w:tc>
              <w:tc>
                <w:tcPr>
                  <w:tcW w:w="570" w:type="pct"/>
                  <w:tcBorders>
                    <w:tl2br w:val="nil"/>
                    <w:tr2bl w:val="nil"/>
                  </w:tcBorders>
                  <w:vAlign w:val="center"/>
                </w:tcPr>
                <w:p w14:paraId="62A108DE">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r>
                    <w:rPr>
                      <w:b/>
                      <w:bCs/>
                      <w:spacing w:val="6"/>
                      <w:sz w:val="21"/>
                      <w:szCs w:val="21"/>
                    </w:rPr>
                    <w:t>单项工程</w:t>
                  </w:r>
                  <w:r>
                    <w:rPr>
                      <w:b/>
                      <w:bCs/>
                      <w:spacing w:val="2"/>
                      <w:sz w:val="21"/>
                      <w:szCs w:val="21"/>
                    </w:rPr>
                    <w:t>名称</w:t>
                  </w:r>
                </w:p>
              </w:tc>
              <w:tc>
                <w:tcPr>
                  <w:tcW w:w="2662" w:type="pct"/>
                  <w:tcBorders>
                    <w:tl2br w:val="nil"/>
                    <w:tr2bl w:val="nil"/>
                  </w:tcBorders>
                  <w:vAlign w:val="center"/>
                </w:tcPr>
                <w:p w14:paraId="37C19D34">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eastAsia="宋体"/>
                      <w:sz w:val="21"/>
                      <w:szCs w:val="21"/>
                      <w:lang w:val="en-US" w:eastAsia="zh-CN"/>
                    </w:rPr>
                  </w:pPr>
                  <w:r>
                    <w:rPr>
                      <w:rFonts w:hint="eastAsia"/>
                      <w:b/>
                      <w:bCs/>
                      <w:spacing w:val="5"/>
                      <w:sz w:val="21"/>
                      <w:szCs w:val="21"/>
                      <w:lang w:val="en-US" w:eastAsia="zh-CN"/>
                    </w:rPr>
                    <w:t>环评申报</w:t>
                  </w:r>
                  <w:r>
                    <w:rPr>
                      <w:b/>
                      <w:bCs/>
                      <w:spacing w:val="5"/>
                      <w:sz w:val="21"/>
                      <w:szCs w:val="21"/>
                    </w:rPr>
                    <w:t>工程内容</w:t>
                  </w:r>
                  <w:r>
                    <w:rPr>
                      <w:rFonts w:hint="eastAsia"/>
                      <w:b/>
                      <w:bCs/>
                      <w:spacing w:val="5"/>
                      <w:sz w:val="21"/>
                      <w:szCs w:val="21"/>
                      <w:lang w:val="en-US" w:eastAsia="zh-CN"/>
                    </w:rPr>
                    <w:t>及规模</w:t>
                  </w:r>
                </w:p>
              </w:tc>
              <w:tc>
                <w:tcPr>
                  <w:tcW w:w="1435" w:type="pct"/>
                  <w:tcBorders>
                    <w:tl2br w:val="nil"/>
                    <w:tr2bl w:val="nil"/>
                  </w:tcBorders>
                  <w:vAlign w:val="center"/>
                </w:tcPr>
                <w:p w14:paraId="07410093">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b/>
                      <w:bCs/>
                      <w:spacing w:val="5"/>
                      <w:sz w:val="21"/>
                      <w:szCs w:val="21"/>
                      <w:lang w:val="en-US" w:eastAsia="zh-CN"/>
                    </w:rPr>
                  </w:pPr>
                  <w:r>
                    <w:rPr>
                      <w:rFonts w:hint="eastAsia"/>
                      <w:b/>
                      <w:bCs/>
                      <w:spacing w:val="5"/>
                      <w:sz w:val="21"/>
                      <w:szCs w:val="21"/>
                      <w:lang w:val="en-US" w:eastAsia="zh-CN"/>
                    </w:rPr>
                    <w:t>实际建设内容及规模</w:t>
                  </w:r>
                </w:p>
              </w:tc>
            </w:tr>
            <w:tr w14:paraId="3A1DBEA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331" w:type="pct"/>
                  <w:tcBorders>
                    <w:tl2br w:val="nil"/>
                    <w:tr2bl w:val="nil"/>
                  </w:tcBorders>
                  <w:vAlign w:val="center"/>
                </w:tcPr>
                <w:p w14:paraId="01FB6E2E">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r>
                    <w:rPr>
                      <w:spacing w:val="3"/>
                      <w:sz w:val="21"/>
                      <w:szCs w:val="21"/>
                    </w:rPr>
                    <w:t>主体工程</w:t>
                  </w:r>
                </w:p>
              </w:tc>
              <w:tc>
                <w:tcPr>
                  <w:tcW w:w="570" w:type="pct"/>
                  <w:tcBorders>
                    <w:tl2br w:val="nil"/>
                    <w:tr2bl w:val="nil"/>
                  </w:tcBorders>
                  <w:vAlign w:val="center"/>
                </w:tcPr>
                <w:p w14:paraId="5A4B3E44">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r>
                    <w:rPr>
                      <w:spacing w:val="6"/>
                      <w:sz w:val="21"/>
                      <w:szCs w:val="21"/>
                    </w:rPr>
                    <w:t>主变压器</w:t>
                  </w:r>
                </w:p>
              </w:tc>
              <w:tc>
                <w:tcPr>
                  <w:tcW w:w="2662" w:type="pct"/>
                  <w:tcBorders>
                    <w:tl2br w:val="nil"/>
                    <w:tr2bl w:val="nil"/>
                  </w:tcBorders>
                  <w:vAlign w:val="center"/>
                </w:tcPr>
                <w:p w14:paraId="5F037D01">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pacing w:val="-3"/>
                      <w:sz w:val="21"/>
                      <w:szCs w:val="21"/>
                    </w:rPr>
                    <w:t>1</w:t>
                  </w:r>
                  <w:r>
                    <w:rPr>
                      <w:spacing w:val="-3"/>
                      <w:sz w:val="21"/>
                      <w:szCs w:val="21"/>
                    </w:rPr>
                    <w:t>台容量</w:t>
                  </w:r>
                  <w:r>
                    <w:rPr>
                      <w:rFonts w:ascii="Times New Roman" w:hAnsi="Times New Roman" w:eastAsia="Times New Roman" w:cs="Times New Roman"/>
                      <w:spacing w:val="-3"/>
                      <w:sz w:val="21"/>
                      <w:szCs w:val="21"/>
                    </w:rPr>
                    <w:t>100MVA</w:t>
                  </w:r>
                  <w:r>
                    <w:rPr>
                      <w:spacing w:val="-3"/>
                      <w:sz w:val="21"/>
                      <w:szCs w:val="21"/>
                    </w:rPr>
                    <w:t>、额定电压</w:t>
                  </w:r>
                  <w:r>
                    <w:rPr>
                      <w:rFonts w:ascii="Times New Roman" w:hAnsi="Times New Roman" w:eastAsia="Times New Roman" w:cs="Times New Roman"/>
                      <w:spacing w:val="-3"/>
                      <w:sz w:val="21"/>
                      <w:szCs w:val="21"/>
                    </w:rPr>
                    <w:t>110kV</w:t>
                  </w:r>
                  <w:r>
                    <w:rPr>
                      <w:spacing w:val="-3"/>
                      <w:sz w:val="21"/>
                      <w:szCs w:val="21"/>
                    </w:rPr>
                    <w:t>的主变压器</w:t>
                  </w:r>
                </w:p>
              </w:tc>
              <w:tc>
                <w:tcPr>
                  <w:tcW w:w="1435" w:type="pct"/>
                  <w:tcBorders>
                    <w:tl2br w:val="nil"/>
                    <w:tr2bl w:val="nil"/>
                  </w:tcBorders>
                  <w:vAlign w:val="center"/>
                </w:tcPr>
                <w:p w14:paraId="48A505D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pacing w:val="2"/>
                      <w:sz w:val="21"/>
                      <w:szCs w:val="21"/>
                    </w:rPr>
                  </w:pPr>
                  <w:r>
                    <w:rPr>
                      <w:rFonts w:hint="eastAsia" w:ascii="Times New Roman" w:hAnsi="Times New Roman" w:cs="Times New Roman"/>
                      <w:sz w:val="21"/>
                      <w:szCs w:val="21"/>
                      <w:lang w:eastAsia="zh-CN"/>
                    </w:rPr>
                    <w:t>与环评</w:t>
                  </w:r>
                  <w:r>
                    <w:rPr>
                      <w:rFonts w:hint="eastAsia" w:ascii="Times New Roman" w:hAnsi="Times New Roman" w:cs="Times New Roman"/>
                      <w:sz w:val="21"/>
                      <w:szCs w:val="21"/>
                      <w:lang w:val="en-US" w:eastAsia="zh-CN"/>
                    </w:rPr>
                    <w:t>申报内容</w:t>
                  </w:r>
                  <w:r>
                    <w:rPr>
                      <w:rFonts w:hint="eastAsia" w:ascii="Times New Roman" w:hAnsi="Times New Roman" w:cs="Times New Roman"/>
                      <w:sz w:val="21"/>
                      <w:szCs w:val="21"/>
                      <w:lang w:eastAsia="zh-CN"/>
                    </w:rPr>
                    <w:t>一致</w:t>
                  </w:r>
                </w:p>
              </w:tc>
            </w:tr>
            <w:tr w14:paraId="56AC7CC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331" w:type="pct"/>
                  <w:vMerge w:val="restart"/>
                  <w:tcBorders>
                    <w:tl2br w:val="nil"/>
                    <w:tr2bl w:val="nil"/>
                  </w:tcBorders>
                  <w:vAlign w:val="center"/>
                </w:tcPr>
                <w:p w14:paraId="4E8C2003">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r>
                    <w:rPr>
                      <w:spacing w:val="3"/>
                      <w:sz w:val="21"/>
                      <w:szCs w:val="21"/>
                    </w:rPr>
                    <w:t>辅助工程</w:t>
                  </w:r>
                </w:p>
              </w:tc>
              <w:tc>
                <w:tcPr>
                  <w:tcW w:w="570" w:type="pct"/>
                  <w:tcBorders>
                    <w:tl2br w:val="nil"/>
                    <w:tr2bl w:val="nil"/>
                  </w:tcBorders>
                  <w:vAlign w:val="center"/>
                </w:tcPr>
                <w:p w14:paraId="6B572CB1">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r>
                    <w:rPr>
                      <w:spacing w:val="6"/>
                      <w:sz w:val="21"/>
                      <w:szCs w:val="21"/>
                    </w:rPr>
                    <w:t>综合楼</w:t>
                  </w:r>
                </w:p>
              </w:tc>
              <w:tc>
                <w:tcPr>
                  <w:tcW w:w="2662" w:type="pct"/>
                  <w:tcBorders>
                    <w:tl2br w:val="nil"/>
                    <w:tr2bl w:val="nil"/>
                  </w:tcBorders>
                  <w:vAlign w:val="center"/>
                </w:tcPr>
                <w:p w14:paraId="41157283">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r>
                    <w:rPr>
                      <w:spacing w:val="9"/>
                      <w:sz w:val="21"/>
                      <w:szCs w:val="21"/>
                    </w:rPr>
                    <w:t>位于升压站东北部，主要为办公室、宿舍等</w:t>
                  </w:r>
                </w:p>
                <w:p w14:paraId="2C9F1C57">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pacing w:val="-4"/>
                      <w:sz w:val="21"/>
                      <w:szCs w:val="21"/>
                    </w:rPr>
                    <w:t>1</w:t>
                  </w:r>
                  <w:r>
                    <w:rPr>
                      <w:spacing w:val="-4"/>
                      <w:sz w:val="21"/>
                      <w:szCs w:val="21"/>
                    </w:rPr>
                    <w:t>栋</w:t>
                  </w:r>
                  <w:r>
                    <w:rPr>
                      <w:rFonts w:ascii="Times New Roman" w:hAnsi="Times New Roman" w:eastAsia="Times New Roman" w:cs="Times New Roman"/>
                      <w:spacing w:val="-4"/>
                      <w:sz w:val="21"/>
                      <w:szCs w:val="21"/>
                    </w:rPr>
                    <w:t>3</w:t>
                  </w:r>
                  <w:r>
                    <w:rPr>
                      <w:spacing w:val="-4"/>
                      <w:sz w:val="21"/>
                      <w:szCs w:val="21"/>
                    </w:rPr>
                    <w:t>层，建筑面</w:t>
                  </w:r>
                  <w:r>
                    <w:rPr>
                      <w:spacing w:val="-1"/>
                      <w:sz w:val="21"/>
                      <w:szCs w:val="21"/>
                    </w:rPr>
                    <w:t>积</w:t>
                  </w:r>
                  <w:r>
                    <w:rPr>
                      <w:rFonts w:ascii="Times New Roman" w:hAnsi="Times New Roman" w:eastAsia="Times New Roman" w:cs="Times New Roman"/>
                      <w:spacing w:val="-1"/>
                      <w:sz w:val="21"/>
                      <w:szCs w:val="21"/>
                    </w:rPr>
                    <w:t>1095.12</w:t>
                  </w:r>
                  <w:r>
                    <w:rPr>
                      <w:rFonts w:ascii="Times New Roman" w:hAnsi="Times New Roman" w:eastAsia="Times New Roman" w:cs="Times New Roman"/>
                      <w:spacing w:val="1"/>
                      <w:sz w:val="21"/>
                      <w:szCs w:val="21"/>
                    </w:rPr>
                    <w:t>m</w:t>
                  </w:r>
                  <w:r>
                    <w:rPr>
                      <w:rFonts w:hint="eastAsia" w:ascii="Times New Roman" w:hAnsi="Times New Roman" w:eastAsia="宋体" w:cs="Times New Roman"/>
                      <w:spacing w:val="1"/>
                      <w:sz w:val="21"/>
                      <w:szCs w:val="21"/>
                      <w:vertAlign w:val="superscript"/>
                      <w:lang w:val="en-US" w:eastAsia="zh-CN"/>
                    </w:rPr>
                    <w:t>2</w:t>
                  </w:r>
                </w:p>
              </w:tc>
              <w:tc>
                <w:tcPr>
                  <w:tcW w:w="1435" w:type="pct"/>
                  <w:tcBorders>
                    <w:tl2br w:val="nil"/>
                    <w:tr2bl w:val="nil"/>
                  </w:tcBorders>
                  <w:vAlign w:val="center"/>
                </w:tcPr>
                <w:p w14:paraId="02ECC229">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pacing w:val="-4"/>
                      <w:sz w:val="21"/>
                      <w:szCs w:val="21"/>
                      <w:lang w:val="en-US"/>
                    </w:rPr>
                  </w:pPr>
                  <w:r>
                    <w:rPr>
                      <w:rFonts w:hint="eastAsia" w:ascii="Times New Roman" w:hAnsi="Times New Roman" w:cs="Times New Roman"/>
                      <w:sz w:val="21"/>
                      <w:szCs w:val="21"/>
                      <w:lang w:val="en-US" w:eastAsia="zh-CN"/>
                    </w:rPr>
                    <w:t>位于升压站西北部，</w:t>
                  </w:r>
                  <w:r>
                    <w:rPr>
                      <w:spacing w:val="9"/>
                      <w:sz w:val="21"/>
                      <w:szCs w:val="21"/>
                    </w:rPr>
                    <w:t>主要为办公室、宿舍等</w:t>
                  </w:r>
                  <w:r>
                    <w:rPr>
                      <w:rFonts w:ascii="Times New Roman" w:hAnsi="Times New Roman" w:eastAsia="Times New Roman" w:cs="Times New Roman"/>
                      <w:spacing w:val="-4"/>
                      <w:sz w:val="21"/>
                      <w:szCs w:val="21"/>
                    </w:rPr>
                    <w:t>1</w:t>
                  </w:r>
                  <w:r>
                    <w:rPr>
                      <w:spacing w:val="-4"/>
                      <w:sz w:val="21"/>
                      <w:szCs w:val="21"/>
                    </w:rPr>
                    <w:t>栋</w:t>
                  </w:r>
                  <w:r>
                    <w:rPr>
                      <w:rFonts w:ascii="Times New Roman" w:hAnsi="Times New Roman" w:eastAsia="Times New Roman" w:cs="Times New Roman"/>
                      <w:spacing w:val="-4"/>
                      <w:sz w:val="21"/>
                      <w:szCs w:val="21"/>
                    </w:rPr>
                    <w:t>3</w:t>
                  </w:r>
                  <w:r>
                    <w:rPr>
                      <w:spacing w:val="-4"/>
                      <w:sz w:val="21"/>
                      <w:szCs w:val="21"/>
                    </w:rPr>
                    <w:t>层，建筑面</w:t>
                  </w:r>
                  <w:r>
                    <w:rPr>
                      <w:spacing w:val="-1"/>
                      <w:sz w:val="21"/>
                      <w:szCs w:val="21"/>
                    </w:rPr>
                    <w:t>积</w:t>
                  </w:r>
                  <w:r>
                    <w:rPr>
                      <w:rFonts w:hint="eastAsia" w:ascii="Times New Roman" w:hAnsi="Times New Roman" w:eastAsia="宋体" w:cs="Times New Roman"/>
                      <w:spacing w:val="-1"/>
                      <w:sz w:val="21"/>
                      <w:szCs w:val="21"/>
                      <w:lang w:val="en-US" w:eastAsia="zh-CN"/>
                    </w:rPr>
                    <w:t>453.3</w:t>
                  </w:r>
                  <w:r>
                    <w:rPr>
                      <w:rFonts w:ascii="Times New Roman" w:hAnsi="Times New Roman" w:eastAsia="Times New Roman" w:cs="Times New Roman"/>
                      <w:spacing w:val="1"/>
                      <w:sz w:val="21"/>
                      <w:szCs w:val="21"/>
                    </w:rPr>
                    <w:t>m</w:t>
                  </w:r>
                  <w:r>
                    <w:rPr>
                      <w:rFonts w:hint="eastAsia" w:ascii="Times New Roman" w:hAnsi="Times New Roman" w:eastAsia="宋体" w:cs="Times New Roman"/>
                      <w:spacing w:val="1"/>
                      <w:sz w:val="21"/>
                      <w:szCs w:val="21"/>
                      <w:vertAlign w:val="superscript"/>
                      <w:lang w:val="en-US" w:eastAsia="zh-CN"/>
                    </w:rPr>
                    <w:t>2</w:t>
                  </w:r>
                </w:p>
              </w:tc>
            </w:tr>
            <w:tr w14:paraId="3672744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31" w:type="pct"/>
                  <w:vMerge w:val="continue"/>
                  <w:tcBorders>
                    <w:tl2br w:val="nil"/>
                    <w:tr2bl w:val="nil"/>
                  </w:tcBorders>
                  <w:vAlign w:val="center"/>
                </w:tcPr>
                <w:p w14:paraId="7921644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Arial"/>
                      <w:sz w:val="21"/>
                      <w:szCs w:val="21"/>
                    </w:rPr>
                  </w:pPr>
                </w:p>
              </w:tc>
              <w:tc>
                <w:tcPr>
                  <w:tcW w:w="570" w:type="pct"/>
                  <w:tcBorders>
                    <w:tl2br w:val="nil"/>
                    <w:tr2bl w:val="nil"/>
                  </w:tcBorders>
                  <w:vAlign w:val="center"/>
                </w:tcPr>
                <w:p w14:paraId="60AD37E4">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r>
                    <w:rPr>
                      <w:spacing w:val="6"/>
                      <w:sz w:val="21"/>
                      <w:szCs w:val="21"/>
                    </w:rPr>
                    <w:t>配电室</w:t>
                  </w:r>
                </w:p>
              </w:tc>
              <w:tc>
                <w:tcPr>
                  <w:tcW w:w="2662" w:type="pct"/>
                  <w:tcBorders>
                    <w:tl2br w:val="nil"/>
                    <w:tr2bl w:val="nil"/>
                  </w:tcBorders>
                  <w:vAlign w:val="center"/>
                </w:tcPr>
                <w:p w14:paraId="49077726">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color w:val="auto"/>
                      <w:sz w:val="21"/>
                      <w:szCs w:val="21"/>
                    </w:rPr>
                  </w:pPr>
                  <w:r>
                    <w:rPr>
                      <w:color w:val="auto"/>
                      <w:spacing w:val="6"/>
                      <w:sz w:val="21"/>
                      <w:szCs w:val="21"/>
                    </w:rPr>
                    <w:t>位于升压站中部，内设</w:t>
                  </w:r>
                  <w:r>
                    <w:rPr>
                      <w:rFonts w:ascii="Times New Roman" w:hAnsi="Times New Roman" w:eastAsia="Times New Roman" w:cs="Times New Roman"/>
                      <w:color w:val="auto"/>
                      <w:spacing w:val="6"/>
                      <w:sz w:val="21"/>
                      <w:szCs w:val="21"/>
                    </w:rPr>
                    <w:t>35</w:t>
                  </w:r>
                  <w:r>
                    <w:rPr>
                      <w:rFonts w:ascii="Times New Roman" w:hAnsi="Times New Roman" w:eastAsia="Times New Roman" w:cs="Times New Roman"/>
                      <w:color w:val="auto"/>
                      <w:sz w:val="21"/>
                      <w:szCs w:val="21"/>
                    </w:rPr>
                    <w:t>kV</w:t>
                  </w:r>
                  <w:r>
                    <w:rPr>
                      <w:color w:val="auto"/>
                      <w:spacing w:val="6"/>
                      <w:sz w:val="21"/>
                      <w:szCs w:val="21"/>
                    </w:rPr>
                    <w:t>配电室、站用变室</w:t>
                  </w:r>
                  <w:r>
                    <w:rPr>
                      <w:color w:val="auto"/>
                      <w:spacing w:val="-1"/>
                      <w:sz w:val="21"/>
                      <w:szCs w:val="21"/>
                    </w:rPr>
                    <w:t>等</w:t>
                  </w:r>
                  <w:r>
                    <w:rPr>
                      <w:rFonts w:ascii="Times New Roman" w:hAnsi="Times New Roman" w:eastAsia="Times New Roman" w:cs="Times New Roman"/>
                      <w:color w:val="auto"/>
                      <w:spacing w:val="-6"/>
                      <w:sz w:val="21"/>
                      <w:szCs w:val="21"/>
                    </w:rPr>
                    <w:t>1</w:t>
                  </w:r>
                  <w:r>
                    <w:rPr>
                      <w:color w:val="auto"/>
                      <w:spacing w:val="-6"/>
                      <w:sz w:val="21"/>
                      <w:szCs w:val="21"/>
                    </w:rPr>
                    <w:t>栋</w:t>
                  </w:r>
                  <w:r>
                    <w:rPr>
                      <w:rFonts w:ascii="Times New Roman" w:hAnsi="Times New Roman" w:eastAsia="Times New Roman" w:cs="Times New Roman"/>
                      <w:color w:val="auto"/>
                      <w:spacing w:val="-6"/>
                      <w:sz w:val="21"/>
                      <w:szCs w:val="21"/>
                    </w:rPr>
                    <w:t>1</w:t>
                  </w:r>
                  <w:r>
                    <w:rPr>
                      <w:color w:val="auto"/>
                      <w:spacing w:val="-6"/>
                      <w:sz w:val="21"/>
                      <w:szCs w:val="21"/>
                    </w:rPr>
                    <w:t>层，建筑面</w:t>
                  </w:r>
                  <w:r>
                    <w:rPr>
                      <w:color w:val="auto"/>
                      <w:spacing w:val="3"/>
                      <w:sz w:val="21"/>
                      <w:szCs w:val="21"/>
                    </w:rPr>
                    <w:t>积</w:t>
                  </w:r>
                  <w:r>
                    <w:rPr>
                      <w:rFonts w:ascii="Times New Roman" w:hAnsi="Times New Roman" w:eastAsia="Times New Roman" w:cs="Times New Roman"/>
                      <w:color w:val="auto"/>
                      <w:spacing w:val="3"/>
                      <w:sz w:val="21"/>
                      <w:szCs w:val="21"/>
                    </w:rPr>
                    <w:t>229.27</w:t>
                  </w:r>
                  <w:r>
                    <w:rPr>
                      <w:rFonts w:ascii="Times New Roman" w:hAnsi="Times New Roman" w:eastAsia="Times New Roman" w:cs="Times New Roman"/>
                      <w:color w:val="auto"/>
                      <w:spacing w:val="1"/>
                      <w:sz w:val="21"/>
                      <w:szCs w:val="21"/>
                    </w:rPr>
                    <w:t>m</w:t>
                  </w:r>
                  <w:r>
                    <w:rPr>
                      <w:rFonts w:hint="eastAsia" w:ascii="Times New Roman" w:hAnsi="Times New Roman" w:eastAsia="宋体" w:cs="Times New Roman"/>
                      <w:color w:val="auto"/>
                      <w:spacing w:val="1"/>
                      <w:sz w:val="21"/>
                      <w:szCs w:val="21"/>
                      <w:vertAlign w:val="superscript"/>
                      <w:lang w:val="en-US" w:eastAsia="zh-CN"/>
                    </w:rPr>
                    <w:t>2</w:t>
                  </w:r>
                </w:p>
              </w:tc>
              <w:tc>
                <w:tcPr>
                  <w:tcW w:w="1435" w:type="pct"/>
                  <w:tcBorders>
                    <w:tl2br w:val="nil"/>
                    <w:tr2bl w:val="nil"/>
                  </w:tcBorders>
                  <w:vAlign w:val="center"/>
                </w:tcPr>
                <w:p w14:paraId="1F49673E">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color w:val="auto"/>
                      <w:sz w:val="21"/>
                      <w:szCs w:val="21"/>
                      <w:highlight w:val="none"/>
                    </w:rPr>
                  </w:pPr>
                  <w:r>
                    <w:rPr>
                      <w:color w:val="auto"/>
                      <w:spacing w:val="6"/>
                      <w:sz w:val="21"/>
                      <w:szCs w:val="21"/>
                    </w:rPr>
                    <w:t>位于升压站</w:t>
                  </w:r>
                  <w:r>
                    <w:rPr>
                      <w:rFonts w:hint="eastAsia"/>
                      <w:color w:val="auto"/>
                      <w:spacing w:val="6"/>
                      <w:sz w:val="21"/>
                      <w:szCs w:val="21"/>
                      <w:lang w:val="en-US" w:eastAsia="zh-CN"/>
                    </w:rPr>
                    <w:t>东南侧</w:t>
                  </w:r>
                  <w:r>
                    <w:rPr>
                      <w:color w:val="auto"/>
                      <w:spacing w:val="6"/>
                      <w:sz w:val="21"/>
                      <w:szCs w:val="21"/>
                    </w:rPr>
                    <w:t>，内设</w:t>
                  </w:r>
                  <w:r>
                    <w:rPr>
                      <w:rFonts w:ascii="Times New Roman" w:hAnsi="Times New Roman" w:eastAsia="Times New Roman" w:cs="Times New Roman"/>
                      <w:color w:val="auto"/>
                      <w:spacing w:val="6"/>
                      <w:sz w:val="21"/>
                      <w:szCs w:val="21"/>
                      <w:highlight w:val="none"/>
                    </w:rPr>
                    <w:t>35</w:t>
                  </w:r>
                  <w:r>
                    <w:rPr>
                      <w:rFonts w:ascii="Times New Roman" w:hAnsi="Times New Roman" w:eastAsia="Times New Roman" w:cs="Times New Roman"/>
                      <w:color w:val="auto"/>
                      <w:sz w:val="21"/>
                      <w:szCs w:val="21"/>
                      <w:highlight w:val="none"/>
                    </w:rPr>
                    <w:t>kV</w:t>
                  </w:r>
                  <w:r>
                    <w:rPr>
                      <w:color w:val="auto"/>
                      <w:spacing w:val="6"/>
                      <w:sz w:val="21"/>
                      <w:szCs w:val="21"/>
                      <w:highlight w:val="none"/>
                    </w:rPr>
                    <w:t>配电室</w:t>
                  </w:r>
                  <w:r>
                    <w:rPr>
                      <w:color w:val="auto"/>
                      <w:spacing w:val="-1"/>
                      <w:sz w:val="21"/>
                      <w:szCs w:val="21"/>
                      <w:highlight w:val="none"/>
                    </w:rPr>
                    <w:t>等</w:t>
                  </w:r>
                </w:p>
                <w:p w14:paraId="661AA27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Times New Roman" w:hAnsi="Times New Roman" w:eastAsia="宋体" w:cs="Times New Roman"/>
                      <w:color w:val="auto"/>
                      <w:spacing w:val="1"/>
                      <w:sz w:val="21"/>
                      <w:szCs w:val="21"/>
                      <w:vertAlign w:val="superscript"/>
                      <w:lang w:val="en-US" w:eastAsia="zh-CN"/>
                    </w:rPr>
                  </w:pPr>
                  <w:r>
                    <w:rPr>
                      <w:rFonts w:ascii="Times New Roman" w:hAnsi="Times New Roman" w:eastAsia="Times New Roman" w:cs="Times New Roman"/>
                      <w:color w:val="auto"/>
                      <w:spacing w:val="-6"/>
                      <w:sz w:val="21"/>
                      <w:szCs w:val="21"/>
                      <w:highlight w:val="none"/>
                    </w:rPr>
                    <w:t>1</w:t>
                  </w:r>
                  <w:r>
                    <w:rPr>
                      <w:color w:val="auto"/>
                      <w:spacing w:val="-6"/>
                      <w:sz w:val="21"/>
                      <w:szCs w:val="21"/>
                      <w:highlight w:val="none"/>
                    </w:rPr>
                    <w:t>栋</w:t>
                  </w:r>
                  <w:r>
                    <w:rPr>
                      <w:rFonts w:hint="eastAsia" w:ascii="Times New Roman" w:hAnsi="Times New Roman" w:eastAsia="宋体" w:cs="Times New Roman"/>
                      <w:color w:val="auto"/>
                      <w:spacing w:val="-6"/>
                      <w:sz w:val="21"/>
                      <w:szCs w:val="21"/>
                      <w:highlight w:val="none"/>
                      <w:lang w:val="en-US" w:eastAsia="zh-CN"/>
                    </w:rPr>
                    <w:t>2</w:t>
                  </w:r>
                  <w:r>
                    <w:rPr>
                      <w:color w:val="auto"/>
                      <w:spacing w:val="-6"/>
                      <w:sz w:val="21"/>
                      <w:szCs w:val="21"/>
                      <w:highlight w:val="none"/>
                    </w:rPr>
                    <w:t>层</w:t>
                  </w:r>
                  <w:r>
                    <w:rPr>
                      <w:color w:val="auto"/>
                      <w:spacing w:val="-6"/>
                      <w:sz w:val="21"/>
                      <w:szCs w:val="21"/>
                    </w:rPr>
                    <w:t>，建筑面</w:t>
                  </w:r>
                  <w:r>
                    <w:rPr>
                      <w:color w:val="auto"/>
                      <w:spacing w:val="3"/>
                      <w:sz w:val="21"/>
                      <w:szCs w:val="21"/>
                    </w:rPr>
                    <w:t>积</w:t>
                  </w:r>
                  <w:r>
                    <w:rPr>
                      <w:rFonts w:hint="eastAsia" w:ascii="Times New Roman" w:hAnsi="Times New Roman" w:eastAsia="宋体" w:cs="Times New Roman"/>
                      <w:color w:val="auto"/>
                      <w:spacing w:val="3"/>
                      <w:sz w:val="21"/>
                      <w:szCs w:val="21"/>
                      <w:lang w:val="en-US" w:eastAsia="zh-CN"/>
                    </w:rPr>
                    <w:t>150.48</w:t>
                  </w:r>
                  <w:r>
                    <w:rPr>
                      <w:rFonts w:ascii="Times New Roman" w:hAnsi="Times New Roman" w:eastAsia="Times New Roman" w:cs="Times New Roman"/>
                      <w:color w:val="auto"/>
                      <w:spacing w:val="1"/>
                      <w:sz w:val="21"/>
                      <w:szCs w:val="21"/>
                    </w:rPr>
                    <w:t>m</w:t>
                  </w:r>
                  <w:r>
                    <w:rPr>
                      <w:rFonts w:hint="eastAsia" w:ascii="Times New Roman" w:hAnsi="Times New Roman" w:eastAsia="宋体" w:cs="Times New Roman"/>
                      <w:color w:val="auto"/>
                      <w:spacing w:val="1"/>
                      <w:sz w:val="21"/>
                      <w:szCs w:val="21"/>
                      <w:vertAlign w:val="superscript"/>
                      <w:lang w:val="en-US" w:eastAsia="zh-CN"/>
                    </w:rPr>
                    <w:t>2</w:t>
                  </w:r>
                </w:p>
                <w:p w14:paraId="50DF97D6">
                  <w:pPr>
                    <w:pStyle w:val="2"/>
                    <w:rPr>
                      <w:rFonts w:hint="default" w:eastAsia="宋体"/>
                      <w:color w:val="auto"/>
                      <w:lang w:val="en-US" w:eastAsia="zh-CN"/>
                    </w:rPr>
                  </w:pPr>
                  <w:r>
                    <w:rPr>
                      <w:color w:val="auto"/>
                      <w:spacing w:val="6"/>
                      <w:sz w:val="21"/>
                      <w:szCs w:val="21"/>
                    </w:rPr>
                    <w:t>站用变室</w:t>
                  </w:r>
                  <w:r>
                    <w:rPr>
                      <w:rFonts w:hint="eastAsia"/>
                      <w:color w:val="auto"/>
                      <w:spacing w:val="6"/>
                      <w:sz w:val="21"/>
                      <w:szCs w:val="21"/>
                      <w:lang w:eastAsia="zh-CN"/>
                    </w:rPr>
                    <w:t>，位于升压站西侧，建筑面积</w:t>
                  </w:r>
                  <w:r>
                    <w:rPr>
                      <w:rFonts w:hint="eastAsia"/>
                      <w:color w:val="auto"/>
                      <w:spacing w:val="6"/>
                      <w:sz w:val="21"/>
                      <w:szCs w:val="21"/>
                      <w:lang w:val="en-US" w:eastAsia="zh-CN"/>
                    </w:rPr>
                    <w:t>42m</w:t>
                  </w:r>
                  <w:r>
                    <w:rPr>
                      <w:rFonts w:hint="eastAsia"/>
                      <w:color w:val="auto"/>
                      <w:spacing w:val="6"/>
                      <w:sz w:val="21"/>
                      <w:szCs w:val="21"/>
                      <w:vertAlign w:val="superscript"/>
                      <w:lang w:val="en-US" w:eastAsia="zh-CN"/>
                    </w:rPr>
                    <w:t>2</w:t>
                  </w:r>
                </w:p>
              </w:tc>
            </w:tr>
            <w:tr w14:paraId="446E6BC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331" w:type="pct"/>
                  <w:vMerge w:val="continue"/>
                  <w:tcBorders>
                    <w:tl2br w:val="nil"/>
                    <w:tr2bl w:val="nil"/>
                  </w:tcBorders>
                  <w:vAlign w:val="center"/>
                </w:tcPr>
                <w:p w14:paraId="73EDA27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Arial"/>
                      <w:sz w:val="21"/>
                      <w:szCs w:val="21"/>
                    </w:rPr>
                  </w:pPr>
                </w:p>
              </w:tc>
              <w:tc>
                <w:tcPr>
                  <w:tcW w:w="570" w:type="pct"/>
                  <w:tcBorders>
                    <w:tl2br w:val="nil"/>
                    <w:tr2bl w:val="nil"/>
                  </w:tcBorders>
                  <w:vAlign w:val="center"/>
                </w:tcPr>
                <w:p w14:paraId="547C6AC8">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r>
                    <w:rPr>
                      <w:spacing w:val="6"/>
                      <w:sz w:val="21"/>
                      <w:szCs w:val="21"/>
                    </w:rPr>
                    <w:t>综合辅助</w:t>
                  </w:r>
                  <w:r>
                    <w:rPr>
                      <w:spacing w:val="3"/>
                      <w:sz w:val="21"/>
                      <w:szCs w:val="21"/>
                    </w:rPr>
                    <w:t>用房</w:t>
                  </w:r>
                </w:p>
              </w:tc>
              <w:tc>
                <w:tcPr>
                  <w:tcW w:w="2662" w:type="pct"/>
                  <w:tcBorders>
                    <w:tl2br w:val="nil"/>
                    <w:tr2bl w:val="nil"/>
                  </w:tcBorders>
                  <w:vAlign w:val="center"/>
                </w:tcPr>
                <w:p w14:paraId="2EDA019D">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color w:val="000000" w:themeColor="text1"/>
                      <w:spacing w:val="6"/>
                      <w:sz w:val="21"/>
                      <w:szCs w:val="21"/>
                      <w14:textFill>
                        <w14:solidFill>
                          <w14:schemeClr w14:val="tx1"/>
                        </w14:solidFill>
                      </w14:textFill>
                    </w:rPr>
                    <w:t>位于升压站西北部，内设水泵房、备品备件库等</w:t>
                  </w:r>
                  <w:r>
                    <w:rPr>
                      <w:rFonts w:ascii="Times New Roman" w:hAnsi="Times New Roman" w:eastAsia="Times New Roman" w:cs="Times New Roman"/>
                      <w:color w:val="000000" w:themeColor="text1"/>
                      <w:spacing w:val="-6"/>
                      <w:sz w:val="21"/>
                      <w:szCs w:val="21"/>
                      <w14:textFill>
                        <w14:solidFill>
                          <w14:schemeClr w14:val="tx1"/>
                        </w14:solidFill>
                      </w14:textFill>
                    </w:rPr>
                    <w:t>1</w:t>
                  </w:r>
                  <w:r>
                    <w:rPr>
                      <w:color w:val="000000" w:themeColor="text1"/>
                      <w:spacing w:val="-6"/>
                      <w:sz w:val="21"/>
                      <w:szCs w:val="21"/>
                      <w14:textFill>
                        <w14:solidFill>
                          <w14:schemeClr w14:val="tx1"/>
                        </w14:solidFill>
                      </w14:textFill>
                    </w:rPr>
                    <w:t>栋</w:t>
                  </w:r>
                  <w:r>
                    <w:rPr>
                      <w:rFonts w:ascii="Times New Roman" w:hAnsi="Times New Roman" w:eastAsia="Times New Roman" w:cs="Times New Roman"/>
                      <w:color w:val="000000" w:themeColor="text1"/>
                      <w:spacing w:val="-6"/>
                      <w:sz w:val="21"/>
                      <w:szCs w:val="21"/>
                      <w14:textFill>
                        <w14:solidFill>
                          <w14:schemeClr w14:val="tx1"/>
                        </w14:solidFill>
                      </w14:textFill>
                    </w:rPr>
                    <w:t>1</w:t>
                  </w:r>
                  <w:r>
                    <w:rPr>
                      <w:color w:val="000000" w:themeColor="text1"/>
                      <w:spacing w:val="-6"/>
                      <w:sz w:val="21"/>
                      <w:szCs w:val="21"/>
                      <w14:textFill>
                        <w14:solidFill>
                          <w14:schemeClr w14:val="tx1"/>
                        </w14:solidFill>
                      </w14:textFill>
                    </w:rPr>
                    <w:t>层，建筑面</w:t>
                  </w:r>
                  <w:r>
                    <w:rPr>
                      <w:color w:val="000000" w:themeColor="text1"/>
                      <w:spacing w:val="1"/>
                      <w:sz w:val="21"/>
                      <w:szCs w:val="21"/>
                      <w14:textFill>
                        <w14:solidFill>
                          <w14:schemeClr w14:val="tx1"/>
                        </w14:solidFill>
                      </w14:textFill>
                    </w:rPr>
                    <w:t>积</w:t>
                  </w:r>
                  <w:r>
                    <w:rPr>
                      <w:rFonts w:ascii="Times New Roman" w:hAnsi="Times New Roman" w:eastAsia="Times New Roman" w:cs="Times New Roman"/>
                      <w:color w:val="000000" w:themeColor="text1"/>
                      <w:spacing w:val="1"/>
                      <w:sz w:val="21"/>
                      <w:szCs w:val="21"/>
                      <w14:textFill>
                        <w14:solidFill>
                          <w14:schemeClr w14:val="tx1"/>
                        </w14:solidFill>
                      </w14:textFill>
                    </w:rPr>
                    <w:t>136.9m</w:t>
                  </w:r>
                  <w:r>
                    <w:rPr>
                      <w:rFonts w:hint="eastAsia" w:ascii="Times New Roman" w:hAnsi="Times New Roman" w:eastAsia="宋体" w:cs="Times New Roman"/>
                      <w:color w:val="000000" w:themeColor="text1"/>
                      <w:spacing w:val="1"/>
                      <w:sz w:val="21"/>
                      <w:szCs w:val="21"/>
                      <w:vertAlign w:val="superscript"/>
                      <w:lang w:val="en-US" w:eastAsia="zh-CN"/>
                      <w14:textFill>
                        <w14:solidFill>
                          <w14:schemeClr w14:val="tx1"/>
                        </w14:solidFill>
                      </w14:textFill>
                    </w:rPr>
                    <w:t>2</w:t>
                  </w:r>
                </w:p>
              </w:tc>
              <w:tc>
                <w:tcPr>
                  <w:tcW w:w="1435" w:type="pct"/>
                  <w:tcBorders>
                    <w:tl2br w:val="nil"/>
                    <w:tr2bl w:val="nil"/>
                  </w:tcBorders>
                  <w:vAlign w:val="center"/>
                </w:tcPr>
                <w:p w14:paraId="56A4CEE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color w:val="000000" w:themeColor="text1"/>
                      <w:spacing w:val="-6"/>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根据实际情况进行调整，取消</w:t>
                  </w:r>
                  <w:r>
                    <w:rPr>
                      <w:color w:val="000000" w:themeColor="text1"/>
                      <w:spacing w:val="6"/>
                      <w:sz w:val="21"/>
                      <w:szCs w:val="21"/>
                      <w14:textFill>
                        <w14:solidFill>
                          <w14:schemeClr w14:val="tx1"/>
                        </w14:solidFill>
                      </w14:textFill>
                    </w:rPr>
                    <w:t>综合辅助</w:t>
                  </w:r>
                  <w:r>
                    <w:rPr>
                      <w:color w:val="000000" w:themeColor="text1"/>
                      <w:spacing w:val="3"/>
                      <w:sz w:val="21"/>
                      <w:szCs w:val="21"/>
                      <w14:textFill>
                        <w14:solidFill>
                          <w14:schemeClr w14:val="tx1"/>
                        </w14:solidFill>
                      </w14:textFill>
                    </w:rPr>
                    <w:t>用房</w:t>
                  </w:r>
                  <w:r>
                    <w:rPr>
                      <w:rFonts w:hint="eastAsia" w:ascii="Times New Roman" w:hAnsi="Times New Roman" w:cs="Times New Roman"/>
                      <w:color w:val="000000" w:themeColor="text1"/>
                      <w:sz w:val="21"/>
                      <w:szCs w:val="21"/>
                      <w:lang w:val="en-US" w:eastAsia="zh-CN"/>
                      <w14:textFill>
                        <w14:solidFill>
                          <w14:schemeClr w14:val="tx1"/>
                        </w14:solidFill>
                      </w14:textFill>
                    </w:rPr>
                    <w:t>建设</w:t>
                  </w:r>
                </w:p>
              </w:tc>
            </w:tr>
            <w:tr w14:paraId="7B7A34A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331" w:type="pct"/>
                  <w:vMerge w:val="continue"/>
                  <w:tcBorders>
                    <w:tl2br w:val="nil"/>
                    <w:tr2bl w:val="nil"/>
                  </w:tcBorders>
                  <w:vAlign w:val="center"/>
                </w:tcPr>
                <w:p w14:paraId="1E4133D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Arial"/>
                      <w:sz w:val="21"/>
                      <w:szCs w:val="21"/>
                    </w:rPr>
                  </w:pPr>
                </w:p>
              </w:tc>
              <w:tc>
                <w:tcPr>
                  <w:tcW w:w="570" w:type="pct"/>
                  <w:tcBorders>
                    <w:tl2br w:val="nil"/>
                    <w:tr2bl w:val="nil"/>
                  </w:tcBorders>
                  <w:vAlign w:val="center"/>
                </w:tcPr>
                <w:p w14:paraId="7A7C617B">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r>
                    <w:rPr>
                      <w:spacing w:val="7"/>
                      <w:sz w:val="21"/>
                      <w:szCs w:val="21"/>
                    </w:rPr>
                    <w:t>配套设施</w:t>
                  </w:r>
                </w:p>
              </w:tc>
              <w:tc>
                <w:tcPr>
                  <w:tcW w:w="2662" w:type="pct"/>
                  <w:tcBorders>
                    <w:tl2br w:val="nil"/>
                    <w:tr2bl w:val="nil"/>
                  </w:tcBorders>
                  <w:vAlign w:val="center"/>
                </w:tcPr>
                <w:p w14:paraId="122A86BD">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pacing w:val="-1"/>
                      <w:sz w:val="21"/>
                      <w:szCs w:val="21"/>
                    </w:rPr>
                    <w:t>110kV</w:t>
                  </w:r>
                  <w:r>
                    <w:rPr>
                      <w:spacing w:val="-1"/>
                      <w:sz w:val="21"/>
                      <w:szCs w:val="21"/>
                    </w:rPr>
                    <w:t>配电装置、</w:t>
                  </w:r>
                  <w:r>
                    <w:rPr>
                      <w:rFonts w:ascii="Times New Roman" w:hAnsi="Times New Roman" w:eastAsia="Times New Roman" w:cs="Times New Roman"/>
                      <w:spacing w:val="-1"/>
                      <w:sz w:val="21"/>
                      <w:szCs w:val="21"/>
                    </w:rPr>
                    <w:t>SVG</w:t>
                  </w:r>
                  <w:r>
                    <w:rPr>
                      <w:spacing w:val="-1"/>
                      <w:sz w:val="21"/>
                      <w:szCs w:val="21"/>
                    </w:rPr>
                    <w:t>室、</w:t>
                  </w:r>
                  <w:r>
                    <w:rPr>
                      <w:rFonts w:ascii="Times New Roman" w:hAnsi="Times New Roman" w:eastAsia="Times New Roman" w:cs="Times New Roman"/>
                      <w:spacing w:val="-1"/>
                      <w:sz w:val="21"/>
                      <w:szCs w:val="21"/>
                    </w:rPr>
                    <w:t>GIS</w:t>
                  </w:r>
                  <w:r>
                    <w:rPr>
                      <w:spacing w:val="-1"/>
                      <w:sz w:val="21"/>
                      <w:szCs w:val="21"/>
                    </w:rPr>
                    <w:t>装置、站用变等</w:t>
                  </w:r>
                </w:p>
              </w:tc>
              <w:tc>
                <w:tcPr>
                  <w:tcW w:w="1435" w:type="pct"/>
                  <w:tcBorders>
                    <w:tl2br w:val="nil"/>
                    <w:tr2bl w:val="nil"/>
                  </w:tcBorders>
                  <w:vAlign w:val="center"/>
                </w:tcPr>
                <w:p w14:paraId="0215B69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pacing w:val="2"/>
                      <w:sz w:val="21"/>
                      <w:szCs w:val="21"/>
                    </w:rPr>
                  </w:pPr>
                  <w:r>
                    <w:rPr>
                      <w:rFonts w:hint="eastAsia" w:ascii="Times New Roman" w:hAnsi="Times New Roman" w:cs="Times New Roman"/>
                      <w:sz w:val="21"/>
                      <w:szCs w:val="21"/>
                      <w:lang w:eastAsia="zh-CN"/>
                    </w:rPr>
                    <w:t>与环评</w:t>
                  </w:r>
                  <w:r>
                    <w:rPr>
                      <w:rFonts w:hint="eastAsia" w:ascii="Times New Roman" w:hAnsi="Times New Roman" w:cs="Times New Roman"/>
                      <w:sz w:val="21"/>
                      <w:szCs w:val="21"/>
                      <w:lang w:val="en-US" w:eastAsia="zh-CN"/>
                    </w:rPr>
                    <w:t>申报内容</w:t>
                  </w:r>
                  <w:r>
                    <w:rPr>
                      <w:rFonts w:hint="eastAsia" w:ascii="Times New Roman" w:hAnsi="Times New Roman" w:cs="Times New Roman"/>
                      <w:sz w:val="21"/>
                      <w:szCs w:val="21"/>
                      <w:lang w:eastAsia="zh-CN"/>
                    </w:rPr>
                    <w:t>一致</w:t>
                  </w:r>
                </w:p>
              </w:tc>
            </w:tr>
            <w:tr w14:paraId="286461C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331" w:type="pct"/>
                  <w:vMerge w:val="restart"/>
                  <w:tcBorders>
                    <w:tl2br w:val="nil"/>
                    <w:tr2bl w:val="nil"/>
                  </w:tcBorders>
                  <w:vAlign w:val="center"/>
                </w:tcPr>
                <w:p w14:paraId="77F2D05F">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r>
                    <w:rPr>
                      <w:spacing w:val="1"/>
                      <w:sz w:val="21"/>
                      <w:szCs w:val="21"/>
                    </w:rPr>
                    <w:t>公用</w:t>
                  </w:r>
                  <w:r>
                    <w:rPr>
                      <w:spacing w:val="3"/>
                      <w:sz w:val="21"/>
                      <w:szCs w:val="21"/>
                    </w:rPr>
                    <w:t>工程</w:t>
                  </w:r>
                </w:p>
              </w:tc>
              <w:tc>
                <w:tcPr>
                  <w:tcW w:w="570" w:type="pct"/>
                  <w:tcBorders>
                    <w:tl2br w:val="nil"/>
                    <w:tr2bl w:val="nil"/>
                  </w:tcBorders>
                  <w:vAlign w:val="center"/>
                </w:tcPr>
                <w:p w14:paraId="31402F4B">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r>
                    <w:rPr>
                      <w:spacing w:val="4"/>
                      <w:sz w:val="21"/>
                      <w:szCs w:val="21"/>
                    </w:rPr>
                    <w:t>供水</w:t>
                  </w:r>
                </w:p>
              </w:tc>
              <w:tc>
                <w:tcPr>
                  <w:tcW w:w="2662" w:type="pct"/>
                  <w:tcBorders>
                    <w:tl2br w:val="nil"/>
                    <w:tr2bl w:val="nil"/>
                  </w:tcBorders>
                  <w:vAlign w:val="center"/>
                </w:tcPr>
                <w:p w14:paraId="4E787159">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spacing w:val="8"/>
                      <w:sz w:val="21"/>
                      <w:szCs w:val="21"/>
                    </w:rPr>
                    <w:t>升压站区生活用水采用市政供水</w:t>
                  </w:r>
                </w:p>
              </w:tc>
              <w:tc>
                <w:tcPr>
                  <w:tcW w:w="1435" w:type="pct"/>
                  <w:tcBorders>
                    <w:tl2br w:val="nil"/>
                    <w:tr2bl w:val="nil"/>
                  </w:tcBorders>
                  <w:vAlign w:val="center"/>
                </w:tcPr>
                <w:p w14:paraId="02CFA95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pacing w:val="2"/>
                      <w:sz w:val="21"/>
                      <w:szCs w:val="21"/>
                    </w:rPr>
                  </w:pPr>
                  <w:r>
                    <w:rPr>
                      <w:rFonts w:hint="eastAsia" w:ascii="Times New Roman" w:hAnsi="Times New Roman" w:cs="Times New Roman"/>
                      <w:sz w:val="21"/>
                      <w:szCs w:val="21"/>
                      <w:lang w:eastAsia="zh-CN"/>
                    </w:rPr>
                    <w:t>与环评</w:t>
                  </w:r>
                  <w:r>
                    <w:rPr>
                      <w:rFonts w:hint="eastAsia" w:ascii="Times New Roman" w:hAnsi="Times New Roman" w:cs="Times New Roman"/>
                      <w:sz w:val="21"/>
                      <w:szCs w:val="21"/>
                      <w:lang w:val="en-US" w:eastAsia="zh-CN"/>
                    </w:rPr>
                    <w:t>申报内容</w:t>
                  </w:r>
                  <w:r>
                    <w:rPr>
                      <w:rFonts w:hint="eastAsia" w:ascii="Times New Roman" w:hAnsi="Times New Roman" w:cs="Times New Roman"/>
                      <w:sz w:val="21"/>
                      <w:szCs w:val="21"/>
                      <w:lang w:eastAsia="zh-CN"/>
                    </w:rPr>
                    <w:t>一致</w:t>
                  </w:r>
                </w:p>
              </w:tc>
            </w:tr>
            <w:tr w14:paraId="2230326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331" w:type="pct"/>
                  <w:vMerge w:val="continue"/>
                  <w:tcBorders>
                    <w:tl2br w:val="nil"/>
                    <w:tr2bl w:val="nil"/>
                  </w:tcBorders>
                  <w:vAlign w:val="center"/>
                </w:tcPr>
                <w:p w14:paraId="60FB1D3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Arial"/>
                      <w:sz w:val="21"/>
                      <w:szCs w:val="21"/>
                    </w:rPr>
                  </w:pPr>
                </w:p>
              </w:tc>
              <w:tc>
                <w:tcPr>
                  <w:tcW w:w="570" w:type="pct"/>
                  <w:tcBorders>
                    <w:tl2br w:val="nil"/>
                    <w:tr2bl w:val="nil"/>
                  </w:tcBorders>
                  <w:vAlign w:val="center"/>
                </w:tcPr>
                <w:p w14:paraId="4664A997">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r>
                    <w:rPr>
                      <w:spacing w:val="4"/>
                      <w:sz w:val="21"/>
                      <w:szCs w:val="21"/>
                    </w:rPr>
                    <w:t>排水</w:t>
                  </w:r>
                </w:p>
              </w:tc>
              <w:tc>
                <w:tcPr>
                  <w:tcW w:w="2662" w:type="pct"/>
                  <w:tcBorders>
                    <w:tl2br w:val="nil"/>
                    <w:tr2bl w:val="nil"/>
                  </w:tcBorders>
                  <w:vAlign w:val="center"/>
                </w:tcPr>
                <w:p w14:paraId="48F64FEA">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spacing w:val="6"/>
                      <w:sz w:val="21"/>
                      <w:szCs w:val="21"/>
                    </w:rPr>
                    <w:t>站内采用雨污分流制排水系统，雨水通过</w:t>
                  </w:r>
                  <w:r>
                    <w:rPr>
                      <w:rFonts w:hint="eastAsia"/>
                      <w:spacing w:val="6"/>
                      <w:sz w:val="21"/>
                      <w:szCs w:val="21"/>
                      <w:lang w:val="en-US" w:eastAsia="zh-CN"/>
                    </w:rPr>
                    <w:t>沟渠</w:t>
                  </w:r>
                  <w:r>
                    <w:rPr>
                      <w:spacing w:val="6"/>
                      <w:sz w:val="21"/>
                      <w:szCs w:val="21"/>
                    </w:rPr>
                    <w:t>排至升压站外；生活污水经站内污水管网送至</w:t>
                  </w:r>
                  <w:r>
                    <w:rPr>
                      <w:spacing w:val="9"/>
                      <w:sz w:val="21"/>
                      <w:szCs w:val="21"/>
                    </w:rPr>
                    <w:t>地埋式一体化污水处理设施（接触氧化</w:t>
                  </w:r>
                  <w:r>
                    <w:rPr>
                      <w:rFonts w:ascii="Times New Roman" w:hAnsi="Times New Roman" w:eastAsia="Times New Roman" w:cs="Times New Roman"/>
                      <w:spacing w:val="9"/>
                      <w:sz w:val="21"/>
                      <w:szCs w:val="21"/>
                    </w:rPr>
                    <w:t>+</w:t>
                  </w:r>
                  <w:r>
                    <w:rPr>
                      <w:spacing w:val="9"/>
                      <w:sz w:val="21"/>
                      <w:szCs w:val="21"/>
                    </w:rPr>
                    <w:t>沉淀）</w:t>
                  </w:r>
                  <w:r>
                    <w:rPr>
                      <w:spacing w:val="6"/>
                      <w:sz w:val="21"/>
                      <w:szCs w:val="21"/>
                    </w:rPr>
                    <w:t>处理后回用于站区绿化，废水不外排，地埋式污水处理设施处理能力</w:t>
                  </w:r>
                  <w:r>
                    <w:rPr>
                      <w:rFonts w:ascii="Times New Roman" w:hAnsi="Times New Roman" w:eastAsia="Times New Roman" w:cs="Times New Roman"/>
                      <w:spacing w:val="6"/>
                      <w:sz w:val="21"/>
                      <w:szCs w:val="21"/>
                    </w:rPr>
                    <w:t>5m</w:t>
                  </w:r>
                  <w:r>
                    <w:rPr>
                      <w:rFonts w:hint="eastAsia" w:ascii="Times New Roman" w:hAnsi="Times New Roman" w:eastAsia="宋体" w:cs="Times New Roman"/>
                      <w:spacing w:val="6"/>
                      <w:sz w:val="21"/>
                      <w:szCs w:val="21"/>
                      <w:vertAlign w:val="superscript"/>
                      <w:lang w:val="en-US" w:eastAsia="zh-CN"/>
                    </w:rPr>
                    <w:t>3</w:t>
                  </w:r>
                  <w:r>
                    <w:rPr>
                      <w:rFonts w:ascii="Times New Roman" w:hAnsi="Times New Roman" w:eastAsia="Times New Roman" w:cs="Times New Roman"/>
                      <w:spacing w:val="6"/>
                      <w:sz w:val="21"/>
                      <w:szCs w:val="21"/>
                    </w:rPr>
                    <w:t>/h</w:t>
                  </w:r>
                  <w:bookmarkStart w:id="0" w:name="_GoBack"/>
                  <w:bookmarkEnd w:id="0"/>
                </w:p>
              </w:tc>
              <w:tc>
                <w:tcPr>
                  <w:tcW w:w="1435" w:type="pct"/>
                  <w:tcBorders>
                    <w:tl2br w:val="nil"/>
                    <w:tr2bl w:val="nil"/>
                  </w:tcBorders>
                  <w:vAlign w:val="center"/>
                </w:tcPr>
                <w:p w14:paraId="4A221F9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pacing w:val="2"/>
                      <w:sz w:val="21"/>
                      <w:szCs w:val="21"/>
                      <w:lang w:val="en-US"/>
                    </w:rPr>
                  </w:pPr>
                  <w:r>
                    <w:rPr>
                      <w:spacing w:val="6"/>
                      <w:sz w:val="21"/>
                      <w:szCs w:val="21"/>
                    </w:rPr>
                    <w:t>站内采用雨污分流制排水系统，雨水通过</w:t>
                  </w:r>
                  <w:r>
                    <w:rPr>
                      <w:rFonts w:hint="eastAsia" w:eastAsia="宋体"/>
                      <w:spacing w:val="6"/>
                      <w:sz w:val="21"/>
                      <w:szCs w:val="21"/>
                      <w:lang w:val="en-US" w:eastAsia="zh-CN"/>
                    </w:rPr>
                    <w:t>沟渠</w:t>
                  </w:r>
                  <w:r>
                    <w:rPr>
                      <w:spacing w:val="6"/>
                      <w:sz w:val="21"/>
                      <w:szCs w:val="21"/>
                    </w:rPr>
                    <w:t>排至升压站外；生活污水经</w:t>
                  </w:r>
                  <w:r>
                    <w:rPr>
                      <w:rFonts w:hint="eastAsia" w:eastAsia="宋体"/>
                      <w:spacing w:val="6"/>
                      <w:sz w:val="21"/>
                      <w:szCs w:val="21"/>
                      <w:lang w:val="en-US" w:eastAsia="zh-CN"/>
                    </w:rPr>
                    <w:t>化粪池预处理后定期清掏</w:t>
                  </w:r>
                </w:p>
              </w:tc>
            </w:tr>
            <w:tr w14:paraId="712D156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331" w:type="pct"/>
                  <w:vMerge w:val="continue"/>
                  <w:tcBorders>
                    <w:tl2br w:val="nil"/>
                    <w:tr2bl w:val="nil"/>
                  </w:tcBorders>
                  <w:vAlign w:val="center"/>
                </w:tcPr>
                <w:p w14:paraId="190505A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Arial"/>
                      <w:sz w:val="21"/>
                      <w:szCs w:val="21"/>
                    </w:rPr>
                  </w:pPr>
                </w:p>
              </w:tc>
              <w:tc>
                <w:tcPr>
                  <w:tcW w:w="570" w:type="pct"/>
                  <w:tcBorders>
                    <w:tl2br w:val="nil"/>
                    <w:tr2bl w:val="nil"/>
                  </w:tcBorders>
                  <w:vAlign w:val="center"/>
                </w:tcPr>
                <w:p w14:paraId="2B6519AD">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r>
                    <w:rPr>
                      <w:spacing w:val="7"/>
                      <w:sz w:val="21"/>
                      <w:szCs w:val="21"/>
                    </w:rPr>
                    <w:t>站内外道</w:t>
                  </w:r>
                  <w:r>
                    <w:rPr>
                      <w:sz w:val="21"/>
                      <w:szCs w:val="21"/>
                    </w:rPr>
                    <w:t>路</w:t>
                  </w:r>
                </w:p>
              </w:tc>
              <w:tc>
                <w:tcPr>
                  <w:tcW w:w="2662" w:type="pct"/>
                  <w:tcBorders>
                    <w:tl2br w:val="nil"/>
                    <w:tr2bl w:val="nil"/>
                  </w:tcBorders>
                  <w:vAlign w:val="center"/>
                </w:tcPr>
                <w:p w14:paraId="4FE8E8DE">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r>
                    <w:rPr>
                      <w:spacing w:val="8"/>
                      <w:sz w:val="21"/>
                      <w:szCs w:val="21"/>
                    </w:rPr>
                    <w:t>新建站内外道路，采用混凝土路面。</w:t>
                  </w:r>
                </w:p>
                <w:p w14:paraId="14B60A14">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spacing w:val="8"/>
                      <w:sz w:val="21"/>
                      <w:szCs w:val="21"/>
                    </w:rPr>
                    <w:t>新建进站道路长</w:t>
                  </w:r>
                  <w:r>
                    <w:rPr>
                      <w:spacing w:val="2"/>
                      <w:sz w:val="21"/>
                      <w:szCs w:val="21"/>
                    </w:rPr>
                    <w:t>度</w:t>
                  </w:r>
                  <w:r>
                    <w:rPr>
                      <w:rFonts w:ascii="Times New Roman" w:hAnsi="Times New Roman" w:eastAsia="Times New Roman" w:cs="Times New Roman"/>
                      <w:spacing w:val="2"/>
                      <w:sz w:val="21"/>
                      <w:szCs w:val="21"/>
                    </w:rPr>
                    <w:t>350m</w:t>
                  </w:r>
                  <w:r>
                    <w:rPr>
                      <w:spacing w:val="2"/>
                      <w:sz w:val="21"/>
                      <w:szCs w:val="21"/>
                    </w:rPr>
                    <w:t>，道路路</w:t>
                  </w:r>
                  <w:r>
                    <w:rPr>
                      <w:spacing w:val="3"/>
                      <w:sz w:val="21"/>
                      <w:szCs w:val="21"/>
                    </w:rPr>
                    <w:t>基宽度</w:t>
                  </w:r>
                  <w:r>
                    <w:rPr>
                      <w:rFonts w:ascii="Times New Roman" w:hAnsi="Times New Roman" w:eastAsia="Times New Roman" w:cs="Times New Roman"/>
                      <w:spacing w:val="3"/>
                      <w:sz w:val="21"/>
                      <w:szCs w:val="21"/>
                    </w:rPr>
                    <w:t>5.5m</w:t>
                  </w:r>
                  <w:r>
                    <w:rPr>
                      <w:spacing w:val="3"/>
                      <w:sz w:val="21"/>
                      <w:szCs w:val="21"/>
                    </w:rPr>
                    <w:t>、路</w:t>
                  </w:r>
                  <w:r>
                    <w:rPr>
                      <w:spacing w:val="5"/>
                      <w:sz w:val="21"/>
                      <w:szCs w:val="21"/>
                    </w:rPr>
                    <w:t>面宽度</w:t>
                  </w:r>
                  <w:r>
                    <w:rPr>
                      <w:rFonts w:ascii="Times New Roman" w:hAnsi="Times New Roman" w:eastAsia="Times New Roman" w:cs="Times New Roman"/>
                      <w:spacing w:val="5"/>
                      <w:sz w:val="21"/>
                      <w:szCs w:val="21"/>
                    </w:rPr>
                    <w:t>4.5m</w:t>
                  </w:r>
                </w:p>
              </w:tc>
              <w:tc>
                <w:tcPr>
                  <w:tcW w:w="1435" w:type="pct"/>
                  <w:tcBorders>
                    <w:tl2br w:val="nil"/>
                    <w:tr2bl w:val="nil"/>
                  </w:tcBorders>
                  <w:vAlign w:val="center"/>
                </w:tcPr>
                <w:p w14:paraId="29AE71B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pacing w:val="5"/>
                      <w:sz w:val="21"/>
                      <w:szCs w:val="21"/>
                    </w:rPr>
                  </w:pPr>
                  <w:r>
                    <w:rPr>
                      <w:rFonts w:hint="eastAsia" w:ascii="Times New Roman" w:hAnsi="Times New Roman" w:cs="Times New Roman"/>
                      <w:sz w:val="21"/>
                      <w:szCs w:val="21"/>
                      <w:lang w:eastAsia="zh-CN"/>
                    </w:rPr>
                    <w:t>与环评</w:t>
                  </w:r>
                  <w:r>
                    <w:rPr>
                      <w:rFonts w:hint="eastAsia" w:ascii="Times New Roman" w:hAnsi="Times New Roman" w:cs="Times New Roman"/>
                      <w:sz w:val="21"/>
                      <w:szCs w:val="21"/>
                      <w:lang w:val="en-US" w:eastAsia="zh-CN"/>
                    </w:rPr>
                    <w:t>申报内容</w:t>
                  </w:r>
                  <w:r>
                    <w:rPr>
                      <w:rFonts w:hint="eastAsia" w:ascii="Times New Roman" w:hAnsi="Times New Roman" w:cs="Times New Roman"/>
                      <w:sz w:val="21"/>
                      <w:szCs w:val="21"/>
                      <w:lang w:eastAsia="zh-CN"/>
                    </w:rPr>
                    <w:t>一致</w:t>
                  </w:r>
                </w:p>
              </w:tc>
            </w:tr>
            <w:tr w14:paraId="3F2B971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331" w:type="pct"/>
                  <w:vMerge w:val="continue"/>
                  <w:tcBorders>
                    <w:tl2br w:val="nil"/>
                    <w:tr2bl w:val="nil"/>
                  </w:tcBorders>
                  <w:vAlign w:val="center"/>
                </w:tcPr>
                <w:p w14:paraId="3446906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Arial"/>
                      <w:sz w:val="21"/>
                      <w:szCs w:val="21"/>
                    </w:rPr>
                  </w:pPr>
                </w:p>
              </w:tc>
              <w:tc>
                <w:tcPr>
                  <w:tcW w:w="570" w:type="pct"/>
                  <w:tcBorders>
                    <w:tl2br w:val="nil"/>
                    <w:tr2bl w:val="nil"/>
                  </w:tcBorders>
                  <w:vAlign w:val="center"/>
                </w:tcPr>
                <w:p w14:paraId="5D403059">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r>
                    <w:rPr>
                      <w:spacing w:val="4"/>
                      <w:sz w:val="21"/>
                      <w:szCs w:val="21"/>
                    </w:rPr>
                    <w:t>供电</w:t>
                  </w:r>
                </w:p>
              </w:tc>
              <w:tc>
                <w:tcPr>
                  <w:tcW w:w="2662" w:type="pct"/>
                  <w:tcBorders>
                    <w:tl2br w:val="nil"/>
                    <w:tr2bl w:val="nil"/>
                  </w:tcBorders>
                  <w:vAlign w:val="center"/>
                </w:tcPr>
                <w:p w14:paraId="64C1F3E6">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spacing w:val="7"/>
                      <w:sz w:val="21"/>
                      <w:szCs w:val="21"/>
                    </w:rPr>
                    <w:t>站用电源</w:t>
                  </w:r>
                </w:p>
              </w:tc>
              <w:tc>
                <w:tcPr>
                  <w:tcW w:w="1435" w:type="pct"/>
                  <w:tcBorders>
                    <w:tl2br w:val="nil"/>
                    <w:tr2bl w:val="nil"/>
                  </w:tcBorders>
                  <w:vAlign w:val="center"/>
                </w:tcPr>
                <w:p w14:paraId="62B8DD3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pacing w:val="2"/>
                      <w:sz w:val="21"/>
                      <w:szCs w:val="21"/>
                    </w:rPr>
                  </w:pPr>
                  <w:r>
                    <w:rPr>
                      <w:rFonts w:hint="eastAsia" w:ascii="Times New Roman" w:hAnsi="Times New Roman" w:cs="Times New Roman"/>
                      <w:sz w:val="21"/>
                      <w:szCs w:val="21"/>
                      <w:lang w:eastAsia="zh-CN"/>
                    </w:rPr>
                    <w:t>与环评</w:t>
                  </w:r>
                  <w:r>
                    <w:rPr>
                      <w:rFonts w:hint="eastAsia" w:ascii="Times New Roman" w:hAnsi="Times New Roman" w:cs="Times New Roman"/>
                      <w:sz w:val="21"/>
                      <w:szCs w:val="21"/>
                      <w:lang w:val="en-US" w:eastAsia="zh-CN"/>
                    </w:rPr>
                    <w:t>申报内容</w:t>
                  </w:r>
                  <w:r>
                    <w:rPr>
                      <w:rFonts w:hint="eastAsia" w:ascii="Times New Roman" w:hAnsi="Times New Roman" w:cs="Times New Roman"/>
                      <w:sz w:val="21"/>
                      <w:szCs w:val="21"/>
                      <w:lang w:eastAsia="zh-CN"/>
                    </w:rPr>
                    <w:t>一致</w:t>
                  </w:r>
                </w:p>
              </w:tc>
            </w:tr>
            <w:tr w14:paraId="61C255A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331" w:type="pct"/>
                  <w:vMerge w:val="restart"/>
                  <w:tcBorders>
                    <w:tl2br w:val="nil"/>
                    <w:tr2bl w:val="nil"/>
                  </w:tcBorders>
                  <w:vAlign w:val="center"/>
                </w:tcPr>
                <w:p w14:paraId="098C0E26">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r>
                    <w:rPr>
                      <w:spacing w:val="4"/>
                      <w:sz w:val="21"/>
                      <w:szCs w:val="21"/>
                    </w:rPr>
                    <w:t>环保</w:t>
                  </w:r>
                  <w:r>
                    <w:rPr>
                      <w:spacing w:val="3"/>
                      <w:sz w:val="21"/>
                      <w:szCs w:val="21"/>
                    </w:rPr>
                    <w:t>工程</w:t>
                  </w:r>
                </w:p>
              </w:tc>
              <w:tc>
                <w:tcPr>
                  <w:tcW w:w="570" w:type="pct"/>
                  <w:tcBorders>
                    <w:tl2br w:val="nil"/>
                    <w:tr2bl w:val="nil"/>
                  </w:tcBorders>
                  <w:vAlign w:val="center"/>
                </w:tcPr>
                <w:p w14:paraId="2D955C04">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eastAsia="宋体"/>
                      <w:sz w:val="21"/>
                      <w:szCs w:val="21"/>
                      <w:lang w:eastAsia="zh-CN"/>
                    </w:rPr>
                  </w:pPr>
                  <w:r>
                    <w:rPr>
                      <w:spacing w:val="7"/>
                      <w:sz w:val="21"/>
                      <w:szCs w:val="21"/>
                    </w:rPr>
                    <w:t>废水</w:t>
                  </w:r>
                  <w:r>
                    <w:rPr>
                      <w:rFonts w:hint="eastAsia"/>
                      <w:spacing w:val="7"/>
                      <w:sz w:val="21"/>
                      <w:szCs w:val="21"/>
                      <w:lang w:val="en-US" w:eastAsia="zh-CN"/>
                    </w:rPr>
                    <w:t>治理</w:t>
                  </w:r>
                </w:p>
              </w:tc>
              <w:tc>
                <w:tcPr>
                  <w:tcW w:w="2662" w:type="pct"/>
                  <w:tcBorders>
                    <w:tl2br w:val="nil"/>
                    <w:tr2bl w:val="nil"/>
                  </w:tcBorders>
                  <w:vAlign w:val="center"/>
                </w:tcPr>
                <w:p w14:paraId="468CF31C">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spacing w:val="9"/>
                      <w:sz w:val="21"/>
                      <w:szCs w:val="21"/>
                    </w:rPr>
                    <w:t>升压站生活污水经地埋式一体化污水处理设施</w:t>
                  </w:r>
                  <w:r>
                    <w:rPr>
                      <w:spacing w:val="8"/>
                      <w:sz w:val="21"/>
                      <w:szCs w:val="21"/>
                    </w:rPr>
                    <w:t>（接触氧化</w:t>
                  </w:r>
                  <w:r>
                    <w:rPr>
                      <w:rFonts w:ascii="Times New Roman" w:hAnsi="Times New Roman" w:eastAsia="Times New Roman" w:cs="Times New Roman"/>
                      <w:spacing w:val="8"/>
                      <w:sz w:val="21"/>
                      <w:szCs w:val="21"/>
                    </w:rPr>
                    <w:t>+</w:t>
                  </w:r>
                  <w:r>
                    <w:rPr>
                      <w:spacing w:val="8"/>
                      <w:sz w:val="21"/>
                      <w:szCs w:val="21"/>
                    </w:rPr>
                    <w:t>沉淀）处理后回用于站内绿化，不</w:t>
                  </w:r>
                  <w:r>
                    <w:rPr>
                      <w:spacing w:val="1"/>
                      <w:sz w:val="21"/>
                      <w:szCs w:val="21"/>
                    </w:rPr>
                    <w:t>外排。</w:t>
                  </w:r>
                  <w:r>
                    <w:rPr>
                      <w:spacing w:val="4"/>
                      <w:sz w:val="21"/>
                      <w:szCs w:val="21"/>
                    </w:rPr>
                    <w:t>处理规模为</w:t>
                  </w:r>
                  <w:r>
                    <w:rPr>
                      <w:rFonts w:ascii="Times New Roman" w:hAnsi="Times New Roman" w:eastAsia="Times New Roman" w:cs="Times New Roman"/>
                      <w:spacing w:val="4"/>
                      <w:sz w:val="21"/>
                      <w:szCs w:val="21"/>
                    </w:rPr>
                    <w:t>5m</w:t>
                  </w:r>
                  <w:r>
                    <w:rPr>
                      <w:rFonts w:hint="eastAsia" w:ascii="Times New Roman" w:hAnsi="Times New Roman" w:eastAsia="宋体" w:cs="Times New Roman"/>
                      <w:spacing w:val="4"/>
                      <w:sz w:val="21"/>
                      <w:szCs w:val="21"/>
                      <w:vertAlign w:val="superscript"/>
                      <w:lang w:val="en-US" w:eastAsia="zh-CN"/>
                    </w:rPr>
                    <w:t>3</w:t>
                  </w:r>
                  <w:r>
                    <w:rPr>
                      <w:rFonts w:ascii="Times New Roman" w:hAnsi="Times New Roman" w:eastAsia="Times New Roman" w:cs="Times New Roman"/>
                      <w:spacing w:val="4"/>
                      <w:sz w:val="21"/>
                      <w:szCs w:val="21"/>
                    </w:rPr>
                    <w:t>/h</w:t>
                  </w:r>
                </w:p>
              </w:tc>
              <w:tc>
                <w:tcPr>
                  <w:tcW w:w="1435" w:type="pct"/>
                  <w:tcBorders>
                    <w:tl2br w:val="nil"/>
                    <w:tr2bl w:val="nil"/>
                  </w:tcBorders>
                  <w:vAlign w:val="center"/>
                </w:tcPr>
                <w:p w14:paraId="289733E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eastAsia="宋体"/>
                      <w:spacing w:val="4"/>
                      <w:sz w:val="21"/>
                      <w:szCs w:val="21"/>
                      <w:lang w:val="en-US" w:eastAsia="zh-CN"/>
                    </w:rPr>
                  </w:pPr>
                  <w:r>
                    <w:rPr>
                      <w:spacing w:val="6"/>
                      <w:sz w:val="21"/>
                      <w:szCs w:val="21"/>
                    </w:rPr>
                    <w:t>生活污水经</w:t>
                  </w:r>
                  <w:r>
                    <w:rPr>
                      <w:rFonts w:hint="eastAsia" w:eastAsia="宋体"/>
                      <w:spacing w:val="6"/>
                      <w:sz w:val="21"/>
                      <w:szCs w:val="21"/>
                      <w:lang w:val="en-US" w:eastAsia="zh-CN"/>
                    </w:rPr>
                    <w:t>化粪池预处理后定期清掏</w:t>
                  </w:r>
                </w:p>
              </w:tc>
            </w:tr>
            <w:tr w14:paraId="564AC81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331" w:type="pct"/>
                  <w:vMerge w:val="continue"/>
                  <w:tcBorders>
                    <w:tl2br w:val="nil"/>
                    <w:tr2bl w:val="nil"/>
                  </w:tcBorders>
                  <w:vAlign w:val="center"/>
                </w:tcPr>
                <w:p w14:paraId="00583862">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pacing w:val="4"/>
                      <w:sz w:val="21"/>
                      <w:szCs w:val="21"/>
                    </w:rPr>
                  </w:pPr>
                </w:p>
              </w:tc>
              <w:tc>
                <w:tcPr>
                  <w:tcW w:w="570" w:type="pct"/>
                  <w:tcBorders>
                    <w:tl2br w:val="nil"/>
                    <w:tr2bl w:val="nil"/>
                  </w:tcBorders>
                  <w:vAlign w:val="center"/>
                </w:tcPr>
                <w:p w14:paraId="5F44AE28">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eastAsia="宋体"/>
                      <w:spacing w:val="7"/>
                      <w:sz w:val="21"/>
                      <w:szCs w:val="21"/>
                      <w:lang w:val="en-US" w:eastAsia="zh-CN"/>
                    </w:rPr>
                  </w:pPr>
                  <w:r>
                    <w:rPr>
                      <w:rFonts w:hint="eastAsia"/>
                      <w:spacing w:val="7"/>
                      <w:sz w:val="21"/>
                      <w:szCs w:val="21"/>
                      <w:lang w:val="en-US" w:eastAsia="zh-CN"/>
                    </w:rPr>
                    <w:t>废气治理</w:t>
                  </w:r>
                </w:p>
              </w:tc>
              <w:tc>
                <w:tcPr>
                  <w:tcW w:w="2662" w:type="pct"/>
                  <w:tcBorders>
                    <w:tl2br w:val="nil"/>
                    <w:tr2bl w:val="nil"/>
                  </w:tcBorders>
                  <w:vAlign w:val="center"/>
                </w:tcPr>
                <w:p w14:paraId="486E9E44">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rFonts w:hint="default" w:eastAsia="宋体"/>
                      <w:spacing w:val="8"/>
                      <w:sz w:val="21"/>
                      <w:szCs w:val="21"/>
                      <w:lang w:val="en-US" w:eastAsia="zh-CN"/>
                    </w:rPr>
                  </w:pPr>
                  <w:r>
                    <w:rPr>
                      <w:rFonts w:hint="eastAsia"/>
                      <w:spacing w:val="8"/>
                      <w:sz w:val="21"/>
                      <w:szCs w:val="21"/>
                      <w:lang w:val="en-US" w:eastAsia="zh-CN"/>
                    </w:rPr>
                    <w:t>运营期无废气产生</w:t>
                  </w:r>
                </w:p>
              </w:tc>
              <w:tc>
                <w:tcPr>
                  <w:tcW w:w="1435" w:type="pct"/>
                  <w:tcBorders>
                    <w:tl2br w:val="nil"/>
                    <w:tr2bl w:val="nil"/>
                  </w:tcBorders>
                  <w:vAlign w:val="center"/>
                </w:tcPr>
                <w:p w14:paraId="7941FB3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Times New Roman" w:hAnsi="Times New Roman" w:cs="Times New Roman"/>
                      <w:sz w:val="21"/>
                      <w:szCs w:val="21"/>
                      <w:lang w:eastAsia="zh-CN"/>
                    </w:rPr>
                  </w:pPr>
                  <w:r>
                    <w:rPr>
                      <w:rFonts w:hint="eastAsia"/>
                      <w:spacing w:val="8"/>
                      <w:sz w:val="21"/>
                      <w:szCs w:val="21"/>
                      <w:lang w:val="en-US" w:eastAsia="zh-CN"/>
                    </w:rPr>
                    <w:t>运营期无废气产生</w:t>
                  </w:r>
                </w:p>
              </w:tc>
            </w:tr>
            <w:tr w14:paraId="3BAD454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331" w:type="pct"/>
                  <w:vMerge w:val="continue"/>
                  <w:tcBorders>
                    <w:tl2br w:val="nil"/>
                    <w:tr2bl w:val="nil"/>
                  </w:tcBorders>
                  <w:vAlign w:val="center"/>
                </w:tcPr>
                <w:p w14:paraId="48C71C8A">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pacing w:val="4"/>
                      <w:sz w:val="21"/>
                      <w:szCs w:val="21"/>
                    </w:rPr>
                  </w:pPr>
                </w:p>
              </w:tc>
              <w:tc>
                <w:tcPr>
                  <w:tcW w:w="570" w:type="pct"/>
                  <w:tcBorders>
                    <w:tl2br w:val="nil"/>
                    <w:tr2bl w:val="nil"/>
                  </w:tcBorders>
                  <w:vAlign w:val="center"/>
                </w:tcPr>
                <w:p w14:paraId="21BD5507">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spacing w:val="7"/>
                      <w:sz w:val="21"/>
                      <w:szCs w:val="21"/>
                      <w:lang w:val="en-US" w:eastAsia="zh-CN"/>
                    </w:rPr>
                  </w:pPr>
                  <w:r>
                    <w:rPr>
                      <w:rFonts w:hint="eastAsia"/>
                      <w:spacing w:val="7"/>
                      <w:sz w:val="21"/>
                      <w:szCs w:val="21"/>
                      <w:lang w:val="en-US" w:eastAsia="zh-CN"/>
                    </w:rPr>
                    <w:t>噪声治理</w:t>
                  </w:r>
                </w:p>
              </w:tc>
              <w:tc>
                <w:tcPr>
                  <w:tcW w:w="2662" w:type="pct"/>
                  <w:tcBorders>
                    <w:tl2br w:val="nil"/>
                    <w:tr2bl w:val="nil"/>
                  </w:tcBorders>
                  <w:vAlign w:val="center"/>
                </w:tcPr>
                <w:p w14:paraId="5D5450D5">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rFonts w:hint="eastAsia"/>
                      <w:spacing w:val="8"/>
                      <w:sz w:val="21"/>
                      <w:szCs w:val="21"/>
                      <w:lang w:val="en-US" w:eastAsia="zh-CN"/>
                    </w:rPr>
                  </w:pPr>
                  <w:r>
                    <w:rPr>
                      <w:rFonts w:hint="eastAsia"/>
                      <w:spacing w:val="8"/>
                      <w:sz w:val="21"/>
                      <w:szCs w:val="21"/>
                      <w:lang w:val="en-US" w:eastAsia="zh-CN"/>
                    </w:rPr>
                    <w:t>使用低噪声设备、合理布局</w:t>
                  </w:r>
                </w:p>
              </w:tc>
              <w:tc>
                <w:tcPr>
                  <w:tcW w:w="1435" w:type="pct"/>
                  <w:tcBorders>
                    <w:tl2br w:val="nil"/>
                    <w:tr2bl w:val="nil"/>
                  </w:tcBorders>
                  <w:vAlign w:val="center"/>
                </w:tcPr>
                <w:p w14:paraId="05A7AD0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spacing w:val="8"/>
                      <w:sz w:val="21"/>
                      <w:szCs w:val="21"/>
                      <w:lang w:val="en-US" w:eastAsia="zh-CN"/>
                    </w:rPr>
                  </w:pPr>
                  <w:r>
                    <w:rPr>
                      <w:rFonts w:hint="eastAsia"/>
                      <w:spacing w:val="8"/>
                      <w:sz w:val="21"/>
                      <w:szCs w:val="21"/>
                      <w:lang w:val="en-US" w:eastAsia="zh-CN"/>
                    </w:rPr>
                    <w:t>使用低噪声设备、合理布局</w:t>
                  </w:r>
                </w:p>
              </w:tc>
            </w:tr>
            <w:tr w14:paraId="16C1406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331" w:type="pct"/>
                  <w:vMerge w:val="continue"/>
                  <w:tcBorders>
                    <w:tl2br w:val="nil"/>
                    <w:tr2bl w:val="nil"/>
                  </w:tcBorders>
                  <w:vAlign w:val="center"/>
                </w:tcPr>
                <w:p w14:paraId="1147541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Arial"/>
                      <w:sz w:val="21"/>
                      <w:szCs w:val="21"/>
                    </w:rPr>
                  </w:pPr>
                </w:p>
              </w:tc>
              <w:tc>
                <w:tcPr>
                  <w:tcW w:w="570" w:type="pct"/>
                  <w:tcBorders>
                    <w:tl2br w:val="nil"/>
                    <w:tr2bl w:val="nil"/>
                  </w:tcBorders>
                  <w:vAlign w:val="center"/>
                </w:tcPr>
                <w:p w14:paraId="27671FDD">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r>
                    <w:rPr>
                      <w:spacing w:val="2"/>
                      <w:sz w:val="21"/>
                      <w:szCs w:val="21"/>
                    </w:rPr>
                    <w:t>固废</w:t>
                  </w:r>
                  <w:r>
                    <w:rPr>
                      <w:rFonts w:hint="eastAsia"/>
                      <w:spacing w:val="7"/>
                      <w:sz w:val="21"/>
                      <w:szCs w:val="21"/>
                      <w:lang w:val="en-US" w:eastAsia="zh-CN"/>
                    </w:rPr>
                    <w:t>治理</w:t>
                  </w:r>
                </w:p>
              </w:tc>
              <w:tc>
                <w:tcPr>
                  <w:tcW w:w="2662" w:type="pct"/>
                  <w:tcBorders>
                    <w:tl2br w:val="nil"/>
                    <w:tr2bl w:val="nil"/>
                  </w:tcBorders>
                  <w:vAlign w:val="center"/>
                </w:tcPr>
                <w:p w14:paraId="1F9BA3B6">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rFonts w:hint="eastAsia" w:ascii="Times New Roman" w:hAnsi="Times New Roman" w:eastAsia="宋体" w:cs="Times New Roman"/>
                      <w:sz w:val="21"/>
                      <w:szCs w:val="21"/>
                      <w:lang w:val="en-US" w:eastAsia="zh-CN"/>
                    </w:rPr>
                  </w:pPr>
                  <w:r>
                    <w:rPr>
                      <w:rFonts w:hint="default" w:ascii="Times New Roman" w:hAnsi="Times New Roman" w:cs="Times New Roman"/>
                      <w:spacing w:val="7"/>
                      <w:sz w:val="21"/>
                      <w:szCs w:val="21"/>
                    </w:rPr>
                    <w:t>生活垃圾由环卫单位统一清运。废铅酸蓄电池、</w:t>
                  </w:r>
                  <w:r>
                    <w:rPr>
                      <w:rFonts w:hint="default" w:ascii="Times New Roman" w:hAnsi="Times New Roman" w:cs="Times New Roman"/>
                      <w:spacing w:val="6"/>
                      <w:sz w:val="21"/>
                      <w:szCs w:val="21"/>
                    </w:rPr>
                    <w:t>废变压器、废机油等按危险废物暂存要求在升压站内</w:t>
                  </w:r>
                  <w:r>
                    <w:rPr>
                      <w:rFonts w:hint="eastAsia" w:ascii="Times New Roman" w:hAnsi="Times New Roman" w:cs="Times New Roman"/>
                      <w:spacing w:val="6"/>
                      <w:sz w:val="21"/>
                      <w:szCs w:val="21"/>
                      <w:lang w:val="en-US" w:eastAsia="zh-CN"/>
                    </w:rPr>
                    <w:t>危废贮存库</w:t>
                  </w:r>
                  <w:r>
                    <w:rPr>
                      <w:rFonts w:hint="default" w:ascii="Times New Roman" w:hAnsi="Times New Roman" w:cs="Times New Roman"/>
                      <w:spacing w:val="6"/>
                      <w:sz w:val="21"/>
                      <w:szCs w:val="21"/>
                    </w:rPr>
                    <w:t>暂存，委托有资质单位进行处理</w:t>
                  </w:r>
                  <w:r>
                    <w:rPr>
                      <w:rFonts w:hint="default" w:ascii="Times New Roman" w:hAnsi="Times New Roman" w:cs="Times New Roman"/>
                      <w:spacing w:val="4"/>
                      <w:sz w:val="21"/>
                      <w:szCs w:val="21"/>
                    </w:rPr>
                    <w:t>处置。升压站内设置</w:t>
                  </w:r>
                  <w:r>
                    <w:rPr>
                      <w:rFonts w:hint="default" w:ascii="Times New Roman" w:hAnsi="Times New Roman" w:eastAsia="Times New Roman" w:cs="Times New Roman"/>
                      <w:spacing w:val="4"/>
                      <w:sz w:val="21"/>
                      <w:szCs w:val="21"/>
                    </w:rPr>
                    <w:t>1</w:t>
                  </w:r>
                  <w:r>
                    <w:rPr>
                      <w:rFonts w:hint="default" w:ascii="Times New Roman" w:hAnsi="Times New Roman" w:cs="Times New Roman"/>
                      <w:spacing w:val="4"/>
                      <w:sz w:val="21"/>
                      <w:szCs w:val="21"/>
                    </w:rPr>
                    <w:t>间危废暂存库，对升</w:t>
                  </w:r>
                  <w:r>
                    <w:rPr>
                      <w:rFonts w:hint="default" w:ascii="Times New Roman" w:hAnsi="Times New Roman" w:cs="Times New Roman"/>
                      <w:spacing w:val="3"/>
                      <w:sz w:val="21"/>
                      <w:szCs w:val="21"/>
                    </w:rPr>
                    <w:t>压站</w:t>
                  </w:r>
                  <w:r>
                    <w:rPr>
                      <w:rFonts w:hint="default" w:ascii="Times New Roman" w:hAnsi="Times New Roman" w:cs="Times New Roman"/>
                      <w:spacing w:val="8"/>
                      <w:sz w:val="21"/>
                      <w:szCs w:val="21"/>
                    </w:rPr>
                    <w:t>运行期间产生的危险废物进行暂存。</w:t>
                  </w:r>
                  <w:r>
                    <w:rPr>
                      <w:rFonts w:hint="default" w:ascii="Times New Roman" w:hAnsi="Times New Roman" w:cs="Times New Roman"/>
                      <w:spacing w:val="3"/>
                      <w:sz w:val="21"/>
                      <w:szCs w:val="21"/>
                    </w:rPr>
                    <w:t>建筑面积</w:t>
                  </w:r>
                  <w:r>
                    <w:rPr>
                      <w:rFonts w:hint="default" w:ascii="Times New Roman" w:hAnsi="Times New Roman" w:eastAsia="Times New Roman" w:cs="Times New Roman"/>
                      <w:spacing w:val="3"/>
                      <w:sz w:val="21"/>
                      <w:szCs w:val="21"/>
                    </w:rPr>
                    <w:t>18.72m</w:t>
                  </w:r>
                  <w:r>
                    <w:rPr>
                      <w:rFonts w:hint="eastAsia" w:ascii="Times New Roman" w:hAnsi="Times New Roman" w:eastAsia="宋体" w:cs="Times New Roman"/>
                      <w:spacing w:val="3"/>
                      <w:sz w:val="21"/>
                      <w:szCs w:val="21"/>
                      <w:vertAlign w:val="superscript"/>
                      <w:lang w:val="en-US" w:eastAsia="zh-CN"/>
                    </w:rPr>
                    <w:t>2</w:t>
                  </w:r>
                </w:p>
              </w:tc>
              <w:tc>
                <w:tcPr>
                  <w:tcW w:w="1435" w:type="pct"/>
                  <w:tcBorders>
                    <w:tl2br w:val="nil"/>
                    <w:tr2bl w:val="nil"/>
                  </w:tcBorders>
                  <w:vAlign w:val="center"/>
                </w:tcPr>
                <w:p w14:paraId="3DE94DF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both"/>
                    <w:textAlignment w:val="baseline"/>
                    <w:rPr>
                      <w:rFonts w:hint="default" w:ascii="Times New Roman" w:hAnsi="Times New Roman" w:eastAsia="宋体" w:cs="Times New Roman"/>
                      <w:spacing w:val="3"/>
                      <w:sz w:val="21"/>
                      <w:szCs w:val="21"/>
                      <w:lang w:val="en-US" w:eastAsia="zh-CN"/>
                    </w:rPr>
                  </w:pPr>
                  <w:r>
                    <w:rPr>
                      <w:rFonts w:hint="default" w:ascii="Times New Roman" w:hAnsi="Times New Roman" w:eastAsia="宋体" w:cs="Times New Roman"/>
                      <w:spacing w:val="3"/>
                      <w:sz w:val="21"/>
                      <w:szCs w:val="21"/>
                      <w:lang w:val="en-US" w:eastAsia="zh-CN"/>
                    </w:rPr>
                    <w:t>设置危废贮存库，建筑面积</w:t>
                  </w:r>
                  <w:r>
                    <w:rPr>
                      <w:rFonts w:hint="eastAsia" w:ascii="Times New Roman" w:hAnsi="Times New Roman" w:eastAsia="宋体" w:cs="Times New Roman"/>
                      <w:spacing w:val="3"/>
                      <w:sz w:val="21"/>
                      <w:szCs w:val="21"/>
                      <w:lang w:val="en-US" w:eastAsia="zh-CN"/>
                    </w:rPr>
                    <w:t>20.87</w:t>
                  </w:r>
                  <w:r>
                    <w:rPr>
                      <w:rFonts w:hint="default" w:ascii="Times New Roman" w:hAnsi="Times New Roman" w:eastAsia="宋体" w:cs="Times New Roman"/>
                      <w:spacing w:val="3"/>
                      <w:sz w:val="21"/>
                      <w:szCs w:val="21"/>
                      <w:lang w:val="en-US" w:eastAsia="zh-CN"/>
                    </w:rPr>
                    <w:t>m</w:t>
                  </w:r>
                  <w:r>
                    <w:rPr>
                      <w:rFonts w:hint="default" w:ascii="Times New Roman" w:hAnsi="Times New Roman" w:eastAsia="宋体" w:cs="Times New Roman"/>
                      <w:spacing w:val="3"/>
                      <w:sz w:val="21"/>
                      <w:szCs w:val="21"/>
                      <w:vertAlign w:val="superscript"/>
                      <w:lang w:val="en-US" w:eastAsia="zh-CN"/>
                    </w:rPr>
                    <w:t>2</w:t>
                  </w:r>
                  <w:r>
                    <w:rPr>
                      <w:rFonts w:hint="default" w:ascii="Times New Roman" w:hAnsi="Times New Roman" w:eastAsia="宋体" w:cs="Times New Roman"/>
                      <w:spacing w:val="3"/>
                      <w:sz w:val="21"/>
                      <w:szCs w:val="21"/>
                      <w:lang w:val="en-US" w:eastAsia="zh-CN"/>
                    </w:rPr>
                    <w:t>，危险废物经危废贮存库临时贮存后交由危废资质单位处置，生活垃圾经垃圾桶收集后交由环卫部门统一清运</w:t>
                  </w:r>
                </w:p>
              </w:tc>
            </w:tr>
            <w:tr w14:paraId="7437956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331" w:type="pct"/>
                  <w:vMerge w:val="continue"/>
                  <w:tcBorders>
                    <w:tl2br w:val="nil"/>
                    <w:tr2bl w:val="nil"/>
                  </w:tcBorders>
                  <w:vAlign w:val="center"/>
                </w:tcPr>
                <w:p w14:paraId="4756E51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Arial"/>
                      <w:sz w:val="21"/>
                      <w:szCs w:val="21"/>
                    </w:rPr>
                  </w:pPr>
                </w:p>
              </w:tc>
              <w:tc>
                <w:tcPr>
                  <w:tcW w:w="570" w:type="pct"/>
                  <w:tcBorders>
                    <w:tl2br w:val="nil"/>
                    <w:tr2bl w:val="nil"/>
                  </w:tcBorders>
                  <w:vAlign w:val="center"/>
                </w:tcPr>
                <w:p w14:paraId="0E193E3E">
                  <w:pPr>
                    <w:pStyle w:val="22"/>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jc w:val="center"/>
                    <w:textAlignment w:val="baseline"/>
                    <w:rPr>
                      <w:spacing w:val="2"/>
                      <w:sz w:val="21"/>
                      <w:szCs w:val="21"/>
                    </w:rPr>
                  </w:pPr>
                  <w:r>
                    <w:rPr>
                      <w:spacing w:val="7"/>
                      <w:sz w:val="21"/>
                      <w:szCs w:val="21"/>
                    </w:rPr>
                    <w:t>环境风险</w:t>
                  </w:r>
                </w:p>
              </w:tc>
              <w:tc>
                <w:tcPr>
                  <w:tcW w:w="2662" w:type="pct"/>
                  <w:tcBorders>
                    <w:tl2br w:val="nil"/>
                    <w:tr2bl w:val="nil"/>
                  </w:tcBorders>
                  <w:vAlign w:val="center"/>
                </w:tcPr>
                <w:p w14:paraId="52A4FBFF">
                  <w:pPr>
                    <w:pStyle w:val="22"/>
                    <w:keepNext w:val="0"/>
                    <w:keepLines w:val="0"/>
                    <w:pageBreakBefore w:val="0"/>
                    <w:widowControl/>
                    <w:kinsoku/>
                    <w:wordWrap/>
                    <w:overflowPunct/>
                    <w:topLinePunct/>
                    <w:autoSpaceDE w:val="0"/>
                    <w:autoSpaceDN w:val="0"/>
                    <w:bidi w:val="0"/>
                    <w:adjustRightInd w:val="0"/>
                    <w:snapToGrid w:val="0"/>
                    <w:spacing w:line="240" w:lineRule="auto"/>
                    <w:ind w:left="0" w:leftChars="0" w:right="0" w:rightChars="0" w:firstLine="0" w:firstLineChars="0"/>
                    <w:jc w:val="center"/>
                    <w:textAlignment w:val="baseline"/>
                    <w:rPr>
                      <w:rFonts w:hint="default"/>
                      <w:spacing w:val="3"/>
                      <w:sz w:val="21"/>
                      <w:szCs w:val="21"/>
                      <w:lang w:val="en-US"/>
                    </w:rPr>
                  </w:pPr>
                  <w:r>
                    <w:rPr>
                      <w:spacing w:val="8"/>
                      <w:sz w:val="21"/>
                      <w:szCs w:val="21"/>
                    </w:rPr>
                    <w:t>升压站设置一座</w:t>
                  </w:r>
                  <w:r>
                    <w:rPr>
                      <w:rFonts w:ascii="Times New Roman" w:hAnsi="Times New Roman" w:eastAsia="Times New Roman" w:cs="Times New Roman"/>
                      <w:spacing w:val="8"/>
                      <w:sz w:val="21"/>
                      <w:szCs w:val="21"/>
                    </w:rPr>
                    <w:t>40m</w:t>
                  </w:r>
                  <w:r>
                    <w:rPr>
                      <w:rFonts w:hint="eastAsia" w:ascii="Times New Roman" w:hAnsi="Times New Roman" w:eastAsia="宋体" w:cs="Times New Roman"/>
                      <w:spacing w:val="8"/>
                      <w:sz w:val="21"/>
                      <w:szCs w:val="21"/>
                      <w:vertAlign w:val="superscript"/>
                      <w:lang w:val="en-US" w:eastAsia="zh-CN"/>
                    </w:rPr>
                    <w:t>3</w:t>
                  </w:r>
                  <w:r>
                    <w:rPr>
                      <w:spacing w:val="8"/>
                      <w:sz w:val="21"/>
                      <w:szCs w:val="21"/>
                    </w:rPr>
                    <w:t>事故油池收集事故状态下</w:t>
                  </w:r>
                  <w:r>
                    <w:rPr>
                      <w:spacing w:val="7"/>
                      <w:sz w:val="21"/>
                      <w:szCs w:val="21"/>
                    </w:rPr>
                    <w:t>的废变压器油，委托有资质单位进行处理处置。</w:t>
                  </w:r>
                  <w:r>
                    <w:rPr>
                      <w:rFonts w:hint="eastAsia" w:ascii="宋体" w:hAnsi="宋体" w:eastAsia="宋体" w:cs="宋体"/>
                      <w:snapToGrid w:val="0"/>
                      <w:color w:val="000000"/>
                      <w:kern w:val="0"/>
                      <w:sz w:val="21"/>
                      <w:szCs w:val="21"/>
                      <w:lang w:val="en-US" w:eastAsia="zh-CN" w:bidi="ar"/>
                    </w:rPr>
                    <w:t>升压站事故油池容积为</w:t>
                  </w:r>
                  <w:r>
                    <w:rPr>
                      <w:rFonts w:hint="default" w:ascii="Times New Roman" w:hAnsi="Times New Roman" w:eastAsia="宋体" w:cs="Times New Roman"/>
                      <w:snapToGrid w:val="0"/>
                      <w:color w:val="000000"/>
                      <w:kern w:val="0"/>
                      <w:sz w:val="21"/>
                      <w:szCs w:val="21"/>
                      <w:lang w:val="en-US" w:eastAsia="zh-CN" w:bidi="ar"/>
                    </w:rPr>
                    <w:t>40m</w:t>
                  </w:r>
                  <w:r>
                    <w:rPr>
                      <w:rFonts w:hint="eastAsia" w:ascii="Times New Roman" w:hAnsi="Times New Roman" w:eastAsia="宋体" w:cs="Times New Roman"/>
                      <w:snapToGrid w:val="0"/>
                      <w:color w:val="000000"/>
                      <w:kern w:val="0"/>
                      <w:sz w:val="21"/>
                      <w:szCs w:val="21"/>
                      <w:vertAlign w:val="superscript"/>
                      <w:lang w:val="en-US" w:eastAsia="zh-CN" w:bidi="ar"/>
                    </w:rPr>
                    <w:t>3</w:t>
                  </w:r>
                </w:p>
              </w:tc>
              <w:tc>
                <w:tcPr>
                  <w:tcW w:w="1435" w:type="pct"/>
                  <w:tcBorders>
                    <w:tl2br w:val="nil"/>
                    <w:tr2bl w:val="nil"/>
                  </w:tcBorders>
                  <w:vAlign w:val="center"/>
                </w:tcPr>
                <w:p w14:paraId="034BE41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宋体" w:hAnsi="宋体" w:eastAsia="宋体" w:cs="宋体"/>
                      <w:snapToGrid w:val="0"/>
                      <w:color w:val="000000"/>
                      <w:kern w:val="0"/>
                      <w:sz w:val="21"/>
                      <w:szCs w:val="21"/>
                      <w:lang w:val="en-US" w:eastAsia="zh-CN" w:bidi="ar"/>
                    </w:rPr>
                  </w:pPr>
                  <w:r>
                    <w:rPr>
                      <w:rFonts w:hint="eastAsia" w:ascii="Times New Roman" w:hAnsi="Times New Roman" w:cs="Times New Roman"/>
                      <w:sz w:val="21"/>
                      <w:szCs w:val="21"/>
                      <w:lang w:eastAsia="zh-CN"/>
                    </w:rPr>
                    <w:t>与环评</w:t>
                  </w:r>
                  <w:r>
                    <w:rPr>
                      <w:rFonts w:hint="eastAsia" w:ascii="Times New Roman" w:hAnsi="Times New Roman" w:cs="Times New Roman"/>
                      <w:sz w:val="21"/>
                      <w:szCs w:val="21"/>
                      <w:lang w:val="en-US" w:eastAsia="zh-CN"/>
                    </w:rPr>
                    <w:t>申报内容</w:t>
                  </w:r>
                  <w:r>
                    <w:rPr>
                      <w:rFonts w:hint="eastAsia" w:ascii="Times New Roman" w:hAnsi="Times New Roman" w:cs="Times New Roman"/>
                      <w:sz w:val="21"/>
                      <w:szCs w:val="21"/>
                      <w:lang w:eastAsia="zh-CN"/>
                    </w:rPr>
                    <w:t>一致</w:t>
                  </w:r>
                </w:p>
              </w:tc>
            </w:tr>
          </w:tbl>
          <w:p w14:paraId="07982F4F">
            <w:pPr>
              <w:widowControl/>
              <w:kinsoku/>
              <w:autoSpaceDE/>
              <w:autoSpaceDN/>
              <w:adjustRightInd/>
              <w:snapToGrid/>
              <w:spacing w:line="240" w:lineRule="auto"/>
              <w:jc w:val="both"/>
              <w:textAlignment w:val="auto"/>
              <w:rPr>
                <w:rFonts w:hint="default" w:ascii="Times New Roman" w:hAnsi="Times New Roman" w:eastAsia="宋体" w:cs="Times New Roman"/>
                <w:snapToGrid/>
                <w:color w:val="000000"/>
                <w:kern w:val="0"/>
                <w:sz w:val="24"/>
                <w:szCs w:val="24"/>
                <w:lang w:val="en-US" w:eastAsia="zh-CN" w:bidi="ar-SA"/>
              </w:rPr>
            </w:pPr>
          </w:p>
        </w:tc>
      </w:tr>
      <w:tr w14:paraId="45D43EB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234" w:hRule="atLeast"/>
          <w:jc w:val="center"/>
        </w:trPr>
        <w:tc>
          <w:tcPr>
            <w:tcW w:w="5000" w:type="pct"/>
            <w:tcBorders>
              <w:tl2br w:val="nil"/>
              <w:tr2bl w:val="nil"/>
            </w:tcBorders>
            <w:vAlign w:val="center"/>
          </w:tcPr>
          <w:p w14:paraId="4F455043">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建设项目占地及总平面布置、输电线路路径</w:t>
            </w:r>
            <w:r>
              <w:rPr>
                <w:rFonts w:hint="eastAsia" w:ascii="Times New Roman" w:hAnsi="Times New Roman" w:eastAsia="宋体" w:cs="Times New Roman"/>
                <w:b/>
                <w:bCs/>
                <w:snapToGrid/>
                <w:color w:val="000000"/>
                <w:kern w:val="0"/>
                <w:sz w:val="24"/>
                <w:szCs w:val="24"/>
                <w:lang w:val="en-US" w:eastAsia="zh-CN" w:bidi="ar-SA"/>
              </w:rPr>
              <w:t>（</w:t>
            </w:r>
            <w:r>
              <w:rPr>
                <w:rFonts w:hint="default" w:ascii="Times New Roman" w:hAnsi="Times New Roman" w:eastAsia="宋体" w:cs="Times New Roman"/>
                <w:b/>
                <w:bCs/>
                <w:snapToGrid/>
                <w:color w:val="000000"/>
                <w:kern w:val="0"/>
                <w:sz w:val="24"/>
                <w:szCs w:val="24"/>
                <w:lang w:val="en-US" w:eastAsia="zh-CN" w:bidi="ar-SA"/>
              </w:rPr>
              <w:t>附总平面布置、输电线路路径示意图</w:t>
            </w:r>
            <w:r>
              <w:rPr>
                <w:rFonts w:hint="eastAsia" w:ascii="Times New Roman" w:hAnsi="Times New Roman" w:eastAsia="宋体" w:cs="Times New Roman"/>
                <w:b/>
                <w:bCs/>
                <w:snapToGrid/>
                <w:color w:val="000000"/>
                <w:kern w:val="0"/>
                <w:sz w:val="24"/>
                <w:szCs w:val="24"/>
                <w:lang w:val="en-US" w:eastAsia="zh-CN" w:bidi="ar-SA"/>
              </w:rPr>
              <w:t>）</w:t>
            </w:r>
          </w:p>
          <w:p w14:paraId="595A46E7">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（1）平面布置</w:t>
            </w:r>
          </w:p>
          <w:p w14:paraId="70F4100B">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新建1座110kV升压站，站址选址地势平坦开阔，与地面高程在24.1~24.8m之间，占地类型为耕地。</w:t>
            </w:r>
          </w:p>
          <w:p w14:paraId="1D84EF9F">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升压站围墙中心线尺寸为91.00m×59.00m，出入口朝西，110kV出线向南。整个升压站分为生产区和办公生活区两部分，东北侧为办公生活区，其他为生产区。</w:t>
            </w:r>
          </w:p>
          <w:p w14:paraId="20C840AB">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生产区内配电室布置在东南侧，事故油池靠近主变布置，SVG装置布置在站区西南角。办公生活区包括综合楼、生活污水处理设备，布置在整个站区的北侧。综合楼前采用铺装广场与绿化相结合的方式进行布置。</w:t>
            </w:r>
          </w:p>
          <w:p w14:paraId="349DC86F">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（2）道路</w:t>
            </w:r>
          </w:p>
          <w:p w14:paraId="4730F3A0">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新建站内外道路，采用混凝土路面。进站道路长度350m，道路路基宽度5.5m、路面宽度4.5m。</w:t>
            </w:r>
          </w:p>
          <w:p w14:paraId="106391AA">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drawing>
                <wp:inline distT="0" distB="0" distL="114300" distR="114300">
                  <wp:extent cx="5241925" cy="3407410"/>
                  <wp:effectExtent l="12700" t="12700" r="22225" b="27940"/>
                  <wp:docPr id="16" name="图片 16" descr="656fc75ce1d8898984fb03c95319a564_a88971c378eda346e5903759d91dfcdd_8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656fc75ce1d8898984fb03c95319a564_a88971c378eda346e5903759d91dfcdd_8_00"/>
                          <pic:cNvPicPr>
                            <a:picLocks noChangeAspect="1"/>
                          </pic:cNvPicPr>
                        </pic:nvPicPr>
                        <pic:blipFill>
                          <a:blip r:embed="rId22"/>
                          <a:srcRect l="12842" t="12474" r="17948" b="23925"/>
                          <a:stretch>
                            <a:fillRect/>
                          </a:stretch>
                        </pic:blipFill>
                        <pic:spPr>
                          <a:xfrm>
                            <a:off x="0" y="0"/>
                            <a:ext cx="5241925" cy="3407410"/>
                          </a:xfrm>
                          <a:prstGeom prst="rect">
                            <a:avLst/>
                          </a:prstGeom>
                          <a:ln w="12700" cmpd="sng">
                            <a:solidFill>
                              <a:schemeClr val="tx1"/>
                            </a:solidFill>
                            <a:prstDash val="solid"/>
                          </a:ln>
                        </pic:spPr>
                      </pic:pic>
                    </a:graphicData>
                  </a:graphic>
                </wp:inline>
              </w:drawing>
            </w:r>
          </w:p>
          <w:p w14:paraId="1A650EF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b/>
                <w:bCs/>
                <w:snapToGrid/>
                <w:color w:val="000000"/>
                <w:kern w:val="0"/>
                <w:sz w:val="24"/>
                <w:szCs w:val="24"/>
                <w:lang w:val="en-US" w:eastAsia="zh-CN" w:bidi="ar-SA"/>
              </w:rPr>
              <w:t>图4.2升压站总平面布置图</w:t>
            </w:r>
          </w:p>
          <w:p w14:paraId="28EB528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26A40D3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58D0F4B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5D0D47F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56D845D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54B6229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48DE939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33B3E32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3B9309F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2C96F22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2539C4E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07C086D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4CEB3B9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0FA686E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7DE85D8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508834C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p>
          <w:p w14:paraId="0E309762">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napToGrid/>
                <w:color w:val="000000"/>
                <w:kern w:val="0"/>
                <w:sz w:val="24"/>
                <w:szCs w:val="24"/>
                <w:lang w:val="en-US" w:eastAsia="zh-CN" w:bidi="ar-SA"/>
              </w:rPr>
            </w:pPr>
          </w:p>
        </w:tc>
      </w:tr>
      <w:tr w14:paraId="58B3267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028" w:hRule="atLeast"/>
          <w:jc w:val="center"/>
        </w:trPr>
        <w:tc>
          <w:tcPr>
            <w:tcW w:w="5000" w:type="pct"/>
            <w:tcBorders>
              <w:tl2br w:val="nil"/>
              <w:tr2bl w:val="nil"/>
            </w:tcBorders>
            <w:vAlign w:val="center"/>
          </w:tcPr>
          <w:p w14:paraId="552E9E71">
            <w:pPr>
              <w:widowControl/>
              <w:kinsoku/>
              <w:autoSpaceDE/>
              <w:autoSpaceDN/>
              <w:adjustRightInd/>
              <w:snapToGrid/>
              <w:spacing w:line="360" w:lineRule="auto"/>
              <w:jc w:val="both"/>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建设项目环境保护投资</w:t>
            </w:r>
          </w:p>
          <w:p w14:paraId="182E77FB">
            <w:pPr>
              <w:widowControl/>
              <w:kinsoku/>
              <w:autoSpaceDE/>
              <w:autoSpaceDN/>
              <w:adjustRightInd/>
              <w:snapToGrid/>
              <w:spacing w:line="360" w:lineRule="auto"/>
              <w:jc w:val="center"/>
              <w:textAlignment w:val="auto"/>
              <w:rPr>
                <w:rFonts w:hint="eastAsia" w:ascii="Times New Roman" w:hAnsi="Times New Roman" w:eastAsia="宋体" w:cs="Times New Roman"/>
                <w:b/>
                <w:bCs/>
                <w:snapToGrid/>
                <w:color w:val="000000"/>
                <w:kern w:val="0"/>
                <w:sz w:val="24"/>
                <w:szCs w:val="24"/>
                <w:lang w:val="en-US" w:eastAsia="zh-CN" w:bidi="ar-SA"/>
              </w:rPr>
            </w:pPr>
            <w:r>
              <w:rPr>
                <w:rFonts w:hint="eastAsia" w:ascii="Times New Roman" w:hAnsi="Times New Roman" w:eastAsia="宋体" w:cs="Times New Roman"/>
                <w:b/>
                <w:bCs/>
                <w:snapToGrid/>
                <w:color w:val="000000"/>
                <w:kern w:val="0"/>
                <w:sz w:val="24"/>
                <w:szCs w:val="24"/>
                <w:lang w:val="en-US" w:eastAsia="zh-CN" w:bidi="ar-SA"/>
              </w:rPr>
              <w:t>表4.2环保投资一览表</w:t>
            </w:r>
          </w:p>
          <w:tbl>
            <w:tblPr>
              <w:tblStyle w:val="16"/>
              <w:tblW w:w="4993" w:type="pct"/>
              <w:tblInd w:w="-2" w:type="dxa"/>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
            <w:tblGrid>
              <w:gridCol w:w="465"/>
              <w:gridCol w:w="664"/>
              <w:gridCol w:w="3115"/>
              <w:gridCol w:w="951"/>
              <w:gridCol w:w="2217"/>
              <w:gridCol w:w="900"/>
            </w:tblGrid>
            <w:tr w14:paraId="7FB163B0">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280" w:type="pct"/>
                  <w:tcBorders>
                    <w:tl2br w:val="nil"/>
                    <w:tr2bl w:val="nil"/>
                  </w:tcBorders>
                  <w:vAlign w:val="center"/>
                </w:tcPr>
                <w:p w14:paraId="5AD78B2E">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sz w:val="21"/>
                      <w:szCs w:val="21"/>
                    </w:rPr>
                  </w:pPr>
                  <w:r>
                    <w:rPr>
                      <w:b/>
                      <w:bCs/>
                      <w:spacing w:val="-1"/>
                      <w:sz w:val="21"/>
                      <w:szCs w:val="21"/>
                    </w:rPr>
                    <w:t>时段</w:t>
                  </w:r>
                </w:p>
              </w:tc>
              <w:tc>
                <w:tcPr>
                  <w:tcW w:w="398" w:type="pct"/>
                  <w:tcBorders>
                    <w:tl2br w:val="nil"/>
                    <w:tr2bl w:val="nil"/>
                  </w:tcBorders>
                  <w:vAlign w:val="center"/>
                </w:tcPr>
                <w:p w14:paraId="3812C15D">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sz w:val="21"/>
                      <w:szCs w:val="21"/>
                    </w:rPr>
                  </w:pPr>
                  <w:r>
                    <w:rPr>
                      <w:b/>
                      <w:bCs/>
                      <w:spacing w:val="6"/>
                      <w:sz w:val="21"/>
                      <w:szCs w:val="21"/>
                    </w:rPr>
                    <w:t>环境要素</w:t>
                  </w:r>
                </w:p>
              </w:tc>
              <w:tc>
                <w:tcPr>
                  <w:tcW w:w="1872" w:type="pct"/>
                  <w:tcBorders>
                    <w:tl2br w:val="nil"/>
                    <w:tr2bl w:val="nil"/>
                  </w:tcBorders>
                  <w:vAlign w:val="center"/>
                </w:tcPr>
                <w:p w14:paraId="65D56285">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sz w:val="21"/>
                      <w:szCs w:val="21"/>
                    </w:rPr>
                  </w:pPr>
                  <w:r>
                    <w:rPr>
                      <w:rFonts w:hint="eastAsia"/>
                      <w:b/>
                      <w:bCs/>
                      <w:spacing w:val="6"/>
                      <w:sz w:val="21"/>
                      <w:szCs w:val="21"/>
                      <w:lang w:val="en-US" w:eastAsia="zh-CN"/>
                    </w:rPr>
                    <w:t>环评申报</w:t>
                  </w:r>
                  <w:r>
                    <w:rPr>
                      <w:b/>
                      <w:bCs/>
                      <w:spacing w:val="6"/>
                      <w:sz w:val="21"/>
                      <w:szCs w:val="21"/>
                    </w:rPr>
                    <w:t>污染防治措施</w:t>
                  </w:r>
                </w:p>
              </w:tc>
              <w:tc>
                <w:tcPr>
                  <w:tcW w:w="572" w:type="pct"/>
                  <w:tcBorders>
                    <w:tl2br w:val="nil"/>
                    <w:tr2bl w:val="nil"/>
                  </w:tcBorders>
                  <w:vAlign w:val="center"/>
                </w:tcPr>
                <w:p w14:paraId="41EA9D38">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sz w:val="21"/>
                      <w:szCs w:val="21"/>
                    </w:rPr>
                  </w:pPr>
                  <w:r>
                    <w:rPr>
                      <w:rFonts w:hint="eastAsia"/>
                      <w:b/>
                      <w:bCs/>
                      <w:spacing w:val="6"/>
                      <w:sz w:val="21"/>
                      <w:szCs w:val="21"/>
                      <w:lang w:val="en-US" w:eastAsia="zh-CN"/>
                    </w:rPr>
                    <w:t>环评设计</w:t>
                  </w:r>
                  <w:r>
                    <w:rPr>
                      <w:b/>
                      <w:bCs/>
                      <w:spacing w:val="6"/>
                      <w:sz w:val="21"/>
                      <w:szCs w:val="21"/>
                    </w:rPr>
                    <w:t>环保投资</w:t>
                  </w:r>
                  <w:r>
                    <w:rPr>
                      <w:b/>
                      <w:bCs/>
                      <w:spacing w:val="1"/>
                      <w:sz w:val="21"/>
                      <w:szCs w:val="21"/>
                    </w:rPr>
                    <w:t>（万元）</w:t>
                  </w:r>
                </w:p>
              </w:tc>
              <w:tc>
                <w:tcPr>
                  <w:tcW w:w="1333" w:type="pct"/>
                  <w:tcBorders>
                    <w:tl2br w:val="nil"/>
                    <w:tr2bl w:val="nil"/>
                  </w:tcBorders>
                  <w:vAlign w:val="center"/>
                </w:tcPr>
                <w:p w14:paraId="7459459C">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rFonts w:hint="eastAsia"/>
                      <w:b/>
                      <w:bCs/>
                      <w:spacing w:val="6"/>
                      <w:sz w:val="21"/>
                      <w:szCs w:val="21"/>
                      <w:lang w:val="en-US" w:eastAsia="zh-CN"/>
                    </w:rPr>
                  </w:pPr>
                  <w:r>
                    <w:rPr>
                      <w:rFonts w:hint="eastAsia"/>
                      <w:b/>
                      <w:bCs/>
                      <w:spacing w:val="6"/>
                      <w:sz w:val="21"/>
                      <w:szCs w:val="21"/>
                      <w:lang w:val="en-US" w:eastAsia="zh-CN"/>
                    </w:rPr>
                    <w:t>实际投入</w:t>
                  </w:r>
                  <w:r>
                    <w:rPr>
                      <w:b/>
                      <w:bCs/>
                      <w:spacing w:val="6"/>
                      <w:sz w:val="21"/>
                      <w:szCs w:val="21"/>
                    </w:rPr>
                    <w:t>污染防治措施</w:t>
                  </w:r>
                </w:p>
              </w:tc>
              <w:tc>
                <w:tcPr>
                  <w:tcW w:w="541" w:type="pct"/>
                  <w:tcBorders>
                    <w:tl2br w:val="nil"/>
                    <w:tr2bl w:val="nil"/>
                  </w:tcBorders>
                  <w:vAlign w:val="center"/>
                </w:tcPr>
                <w:p w14:paraId="4274F8CB">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rFonts w:hint="default"/>
                      <w:b/>
                      <w:bCs/>
                      <w:spacing w:val="6"/>
                      <w:sz w:val="21"/>
                      <w:szCs w:val="21"/>
                      <w:lang w:val="en-US" w:eastAsia="zh-CN"/>
                    </w:rPr>
                  </w:pPr>
                  <w:r>
                    <w:rPr>
                      <w:rFonts w:hint="eastAsia"/>
                      <w:b/>
                      <w:bCs/>
                      <w:spacing w:val="6"/>
                      <w:sz w:val="21"/>
                      <w:szCs w:val="21"/>
                      <w:lang w:val="en-US" w:eastAsia="zh-CN"/>
                    </w:rPr>
                    <w:t>实际投入环保投资（万元）</w:t>
                  </w:r>
                </w:p>
              </w:tc>
            </w:tr>
            <w:tr w14:paraId="13C32F63">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280" w:type="pct"/>
                  <w:vMerge w:val="restart"/>
                  <w:tcBorders>
                    <w:tl2br w:val="nil"/>
                    <w:tr2bl w:val="nil"/>
                  </w:tcBorders>
                  <w:textDirection w:val="tbRlV"/>
                  <w:vAlign w:val="center"/>
                </w:tcPr>
                <w:p w14:paraId="49AE4FE0">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sz w:val="21"/>
                      <w:szCs w:val="21"/>
                    </w:rPr>
                  </w:pPr>
                  <w:r>
                    <w:rPr>
                      <w:spacing w:val="8"/>
                      <w:sz w:val="21"/>
                      <w:szCs w:val="21"/>
                    </w:rPr>
                    <w:t>施工期</w:t>
                  </w:r>
                </w:p>
              </w:tc>
              <w:tc>
                <w:tcPr>
                  <w:tcW w:w="398" w:type="pct"/>
                  <w:tcBorders>
                    <w:tl2br w:val="nil"/>
                    <w:tr2bl w:val="nil"/>
                  </w:tcBorders>
                  <w:vAlign w:val="center"/>
                </w:tcPr>
                <w:p w14:paraId="5DEC4B32">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sz w:val="21"/>
                      <w:szCs w:val="21"/>
                    </w:rPr>
                  </w:pPr>
                  <w:r>
                    <w:rPr>
                      <w:spacing w:val="7"/>
                      <w:sz w:val="21"/>
                      <w:szCs w:val="21"/>
                    </w:rPr>
                    <w:t>扬尘治理</w:t>
                  </w:r>
                </w:p>
              </w:tc>
              <w:tc>
                <w:tcPr>
                  <w:tcW w:w="1872" w:type="pct"/>
                  <w:tcBorders>
                    <w:tl2br w:val="nil"/>
                    <w:tr2bl w:val="nil"/>
                  </w:tcBorders>
                  <w:vAlign w:val="center"/>
                </w:tcPr>
                <w:p w14:paraId="32F93904">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sz w:val="21"/>
                      <w:szCs w:val="21"/>
                    </w:rPr>
                  </w:pPr>
                  <w:r>
                    <w:rPr>
                      <w:spacing w:val="9"/>
                      <w:sz w:val="21"/>
                      <w:szCs w:val="21"/>
                    </w:rPr>
                    <w:t>施工期围挡、场地洒水、土工布等费用</w:t>
                  </w:r>
                </w:p>
              </w:tc>
              <w:tc>
                <w:tcPr>
                  <w:tcW w:w="572" w:type="pct"/>
                  <w:tcBorders>
                    <w:tl2br w:val="nil"/>
                    <w:tr2bl w:val="nil"/>
                  </w:tcBorders>
                  <w:vAlign w:val="center"/>
                </w:tcPr>
                <w:p w14:paraId="7980C6A7">
                  <w:pPr>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z w:val="21"/>
                      <w:szCs w:val="21"/>
                    </w:rPr>
                    <w:t>2</w:t>
                  </w:r>
                </w:p>
              </w:tc>
              <w:tc>
                <w:tcPr>
                  <w:tcW w:w="1333" w:type="pct"/>
                  <w:tcBorders>
                    <w:tl2br w:val="nil"/>
                    <w:tr2bl w:val="nil"/>
                  </w:tcBorders>
                  <w:vAlign w:val="center"/>
                </w:tcPr>
                <w:p w14:paraId="196C4E86">
                  <w:pPr>
                    <w:pStyle w:val="22"/>
                    <w:keepNext w:val="0"/>
                    <w:keepLines w:val="0"/>
                    <w:pageBreakBefore w:val="0"/>
                    <w:widowControl/>
                    <w:kinsoku/>
                    <w:wordWrap/>
                    <w:overflowPunct/>
                    <w:topLinePunct/>
                    <w:autoSpaceDE w:val="0"/>
                    <w:autoSpaceDN w:val="0"/>
                    <w:bidi w:val="0"/>
                    <w:adjustRightInd w:val="0"/>
                    <w:snapToGrid w:val="0"/>
                    <w:spacing w:line="240" w:lineRule="auto"/>
                    <w:ind w:left="0" w:leftChars="0" w:right="0" w:rightChars="0" w:firstLine="0" w:firstLineChars="0"/>
                    <w:jc w:val="center"/>
                    <w:textAlignment w:val="baseline"/>
                    <w:rPr>
                      <w:rFonts w:ascii="Times New Roman" w:hAnsi="Times New Roman" w:eastAsia="Times New Roman" w:cs="Times New Roman"/>
                      <w:sz w:val="21"/>
                      <w:szCs w:val="21"/>
                    </w:rPr>
                  </w:pPr>
                  <w:r>
                    <w:rPr>
                      <w:spacing w:val="9"/>
                      <w:sz w:val="21"/>
                      <w:szCs w:val="21"/>
                    </w:rPr>
                    <w:t>施工期围挡、场地洒水、土工布等费用</w:t>
                  </w:r>
                </w:p>
              </w:tc>
              <w:tc>
                <w:tcPr>
                  <w:tcW w:w="541" w:type="pct"/>
                  <w:tcBorders>
                    <w:tl2br w:val="nil"/>
                    <w:tr2bl w:val="nil"/>
                  </w:tcBorders>
                  <w:vAlign w:val="center"/>
                </w:tcPr>
                <w:p w14:paraId="537C07CB">
                  <w:pPr>
                    <w:keepNext w:val="0"/>
                    <w:keepLines w:val="0"/>
                    <w:pageBreakBefore w:val="0"/>
                    <w:widowControl/>
                    <w:kinsoku/>
                    <w:wordWrap/>
                    <w:overflowPunct/>
                    <w:topLinePunct/>
                    <w:autoSpaceDE w:val="0"/>
                    <w:autoSpaceDN w:val="0"/>
                    <w:bidi w:val="0"/>
                    <w:adjustRightInd w:val="0"/>
                    <w:snapToGrid w:val="0"/>
                    <w:spacing w:line="240" w:lineRule="auto"/>
                    <w:ind w:left="0" w:leftChars="0" w:right="0" w:rightChars="0" w:firstLine="0" w:firstLineChars="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z w:val="21"/>
                      <w:szCs w:val="21"/>
                    </w:rPr>
                    <w:t>2</w:t>
                  </w:r>
                </w:p>
              </w:tc>
            </w:tr>
            <w:tr w14:paraId="612ED254">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1090" w:hRule="atLeast"/>
              </w:trPr>
              <w:tc>
                <w:tcPr>
                  <w:tcW w:w="280" w:type="pct"/>
                  <w:vMerge w:val="continue"/>
                  <w:tcBorders>
                    <w:tl2br w:val="nil"/>
                    <w:tr2bl w:val="nil"/>
                  </w:tcBorders>
                  <w:textDirection w:val="tbRlV"/>
                  <w:vAlign w:val="center"/>
                </w:tcPr>
                <w:p w14:paraId="43574B74">
                  <w:pPr>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rFonts w:ascii="Arial"/>
                      <w:sz w:val="21"/>
                      <w:szCs w:val="21"/>
                    </w:rPr>
                  </w:pPr>
                </w:p>
              </w:tc>
              <w:tc>
                <w:tcPr>
                  <w:tcW w:w="398" w:type="pct"/>
                  <w:tcBorders>
                    <w:tl2br w:val="nil"/>
                    <w:tr2bl w:val="nil"/>
                  </w:tcBorders>
                  <w:vAlign w:val="center"/>
                </w:tcPr>
                <w:p w14:paraId="088462A7">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sz w:val="21"/>
                      <w:szCs w:val="21"/>
                    </w:rPr>
                  </w:pPr>
                  <w:r>
                    <w:rPr>
                      <w:spacing w:val="7"/>
                      <w:sz w:val="21"/>
                      <w:szCs w:val="21"/>
                    </w:rPr>
                    <w:t>废水治理</w:t>
                  </w:r>
                </w:p>
              </w:tc>
              <w:tc>
                <w:tcPr>
                  <w:tcW w:w="1872" w:type="pct"/>
                  <w:tcBorders>
                    <w:tl2br w:val="nil"/>
                    <w:tr2bl w:val="nil"/>
                  </w:tcBorders>
                  <w:vAlign w:val="center"/>
                </w:tcPr>
                <w:p w14:paraId="6282F77D">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sz w:val="21"/>
                      <w:szCs w:val="21"/>
                    </w:rPr>
                  </w:pPr>
                  <w:r>
                    <w:rPr>
                      <w:spacing w:val="9"/>
                      <w:sz w:val="21"/>
                      <w:szCs w:val="21"/>
                    </w:rPr>
                    <w:t>施工营地采用隔油沉淀池，建设车辆冲洗系统、沉</w:t>
                  </w:r>
                  <w:r>
                    <w:rPr>
                      <w:spacing w:val="3"/>
                      <w:sz w:val="21"/>
                      <w:szCs w:val="21"/>
                    </w:rPr>
                    <w:t>砂池、隔油沉淀池，收集施工中所排放的各类废水，</w:t>
                  </w:r>
                  <w:r>
                    <w:rPr>
                      <w:spacing w:val="9"/>
                      <w:sz w:val="21"/>
                      <w:szCs w:val="21"/>
                    </w:rPr>
                    <w:t>废水经隔油沉淀后，作为施工用水的一部分重复使</w:t>
                  </w:r>
                  <w:r>
                    <w:rPr>
                      <w:spacing w:val="-1"/>
                      <w:sz w:val="21"/>
                      <w:szCs w:val="21"/>
                    </w:rPr>
                    <w:t>用</w:t>
                  </w:r>
                </w:p>
              </w:tc>
              <w:tc>
                <w:tcPr>
                  <w:tcW w:w="572" w:type="pct"/>
                  <w:tcBorders>
                    <w:tl2br w:val="nil"/>
                    <w:tr2bl w:val="nil"/>
                  </w:tcBorders>
                  <w:vAlign w:val="center"/>
                </w:tcPr>
                <w:p w14:paraId="48EF06E9">
                  <w:pPr>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z w:val="21"/>
                      <w:szCs w:val="21"/>
                    </w:rPr>
                    <w:t>3</w:t>
                  </w:r>
                </w:p>
              </w:tc>
              <w:tc>
                <w:tcPr>
                  <w:tcW w:w="1333" w:type="pct"/>
                  <w:tcBorders>
                    <w:tl2br w:val="nil"/>
                    <w:tr2bl w:val="nil"/>
                  </w:tcBorders>
                  <w:vAlign w:val="center"/>
                </w:tcPr>
                <w:p w14:paraId="65E3FE0E">
                  <w:pPr>
                    <w:pStyle w:val="22"/>
                    <w:keepNext w:val="0"/>
                    <w:keepLines w:val="0"/>
                    <w:pageBreakBefore w:val="0"/>
                    <w:widowControl/>
                    <w:kinsoku/>
                    <w:wordWrap/>
                    <w:overflowPunct/>
                    <w:topLinePunct/>
                    <w:autoSpaceDE w:val="0"/>
                    <w:autoSpaceDN w:val="0"/>
                    <w:bidi w:val="0"/>
                    <w:adjustRightInd w:val="0"/>
                    <w:snapToGrid w:val="0"/>
                    <w:spacing w:line="240" w:lineRule="auto"/>
                    <w:ind w:left="0" w:leftChars="0" w:right="0" w:rightChars="0" w:firstLine="0" w:firstLineChars="0"/>
                    <w:jc w:val="center"/>
                    <w:textAlignment w:val="baseline"/>
                    <w:rPr>
                      <w:rFonts w:ascii="Times New Roman" w:hAnsi="Times New Roman" w:eastAsia="Times New Roman" w:cs="Times New Roman"/>
                      <w:sz w:val="21"/>
                      <w:szCs w:val="21"/>
                    </w:rPr>
                  </w:pPr>
                  <w:r>
                    <w:rPr>
                      <w:spacing w:val="9"/>
                      <w:sz w:val="21"/>
                      <w:szCs w:val="21"/>
                    </w:rPr>
                    <w:t>施工营地采用隔油沉淀池，建设车辆冲洗系统、沉</w:t>
                  </w:r>
                  <w:r>
                    <w:rPr>
                      <w:spacing w:val="3"/>
                      <w:sz w:val="21"/>
                      <w:szCs w:val="21"/>
                    </w:rPr>
                    <w:t>砂池、隔油沉淀池，收集施工中所排放的各类废水，</w:t>
                  </w:r>
                  <w:r>
                    <w:rPr>
                      <w:spacing w:val="9"/>
                      <w:sz w:val="21"/>
                      <w:szCs w:val="21"/>
                    </w:rPr>
                    <w:t>废水经隔油沉淀后，作为施工用水的一部分重复使</w:t>
                  </w:r>
                  <w:r>
                    <w:rPr>
                      <w:spacing w:val="-1"/>
                      <w:sz w:val="21"/>
                      <w:szCs w:val="21"/>
                    </w:rPr>
                    <w:t>用</w:t>
                  </w:r>
                </w:p>
              </w:tc>
              <w:tc>
                <w:tcPr>
                  <w:tcW w:w="541" w:type="pct"/>
                  <w:tcBorders>
                    <w:tl2br w:val="nil"/>
                    <w:tr2bl w:val="nil"/>
                  </w:tcBorders>
                  <w:vAlign w:val="center"/>
                </w:tcPr>
                <w:p w14:paraId="6F0CEBF4">
                  <w:pPr>
                    <w:keepNext w:val="0"/>
                    <w:keepLines w:val="0"/>
                    <w:pageBreakBefore w:val="0"/>
                    <w:widowControl/>
                    <w:kinsoku/>
                    <w:wordWrap/>
                    <w:overflowPunct/>
                    <w:topLinePunct/>
                    <w:autoSpaceDE w:val="0"/>
                    <w:autoSpaceDN w:val="0"/>
                    <w:bidi w:val="0"/>
                    <w:adjustRightInd w:val="0"/>
                    <w:snapToGrid w:val="0"/>
                    <w:spacing w:line="240" w:lineRule="auto"/>
                    <w:ind w:left="0" w:leftChars="0" w:right="0" w:rightChars="0" w:firstLine="0" w:firstLineChars="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z w:val="21"/>
                      <w:szCs w:val="21"/>
                    </w:rPr>
                    <w:t>3</w:t>
                  </w:r>
                </w:p>
              </w:tc>
            </w:tr>
            <w:tr w14:paraId="08EE41BF">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280" w:type="pct"/>
                  <w:vMerge w:val="continue"/>
                  <w:tcBorders>
                    <w:tl2br w:val="nil"/>
                    <w:tr2bl w:val="nil"/>
                  </w:tcBorders>
                  <w:textDirection w:val="tbRlV"/>
                  <w:vAlign w:val="center"/>
                </w:tcPr>
                <w:p w14:paraId="71CCF17B">
                  <w:pPr>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rFonts w:ascii="Arial"/>
                      <w:sz w:val="21"/>
                      <w:szCs w:val="21"/>
                    </w:rPr>
                  </w:pPr>
                </w:p>
              </w:tc>
              <w:tc>
                <w:tcPr>
                  <w:tcW w:w="398" w:type="pct"/>
                  <w:tcBorders>
                    <w:tl2br w:val="nil"/>
                    <w:tr2bl w:val="nil"/>
                  </w:tcBorders>
                  <w:vAlign w:val="center"/>
                </w:tcPr>
                <w:p w14:paraId="6E4E8320">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sz w:val="21"/>
                      <w:szCs w:val="21"/>
                    </w:rPr>
                  </w:pPr>
                  <w:r>
                    <w:rPr>
                      <w:spacing w:val="4"/>
                      <w:sz w:val="21"/>
                      <w:szCs w:val="21"/>
                    </w:rPr>
                    <w:t>噪声治理</w:t>
                  </w:r>
                </w:p>
              </w:tc>
              <w:tc>
                <w:tcPr>
                  <w:tcW w:w="1872" w:type="pct"/>
                  <w:tcBorders>
                    <w:tl2br w:val="nil"/>
                    <w:tr2bl w:val="nil"/>
                  </w:tcBorders>
                  <w:vAlign w:val="center"/>
                </w:tcPr>
                <w:p w14:paraId="437D1CB6">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sz w:val="21"/>
                      <w:szCs w:val="21"/>
                    </w:rPr>
                  </w:pPr>
                  <w:r>
                    <w:rPr>
                      <w:spacing w:val="9"/>
                      <w:sz w:val="21"/>
                      <w:szCs w:val="21"/>
                    </w:rPr>
                    <w:t>施工期低噪施工设备</w:t>
                  </w:r>
                </w:p>
              </w:tc>
              <w:tc>
                <w:tcPr>
                  <w:tcW w:w="572" w:type="pct"/>
                  <w:tcBorders>
                    <w:tl2br w:val="nil"/>
                    <w:tr2bl w:val="nil"/>
                  </w:tcBorders>
                  <w:vAlign w:val="center"/>
                </w:tcPr>
                <w:p w14:paraId="75AF85A5">
                  <w:pPr>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z w:val="21"/>
                      <w:szCs w:val="21"/>
                    </w:rPr>
                    <w:t>2</w:t>
                  </w:r>
                </w:p>
              </w:tc>
              <w:tc>
                <w:tcPr>
                  <w:tcW w:w="1333" w:type="pct"/>
                  <w:tcBorders>
                    <w:tl2br w:val="nil"/>
                    <w:tr2bl w:val="nil"/>
                  </w:tcBorders>
                  <w:vAlign w:val="center"/>
                </w:tcPr>
                <w:p w14:paraId="7DB2ABFC">
                  <w:pPr>
                    <w:pStyle w:val="22"/>
                    <w:keepNext w:val="0"/>
                    <w:keepLines w:val="0"/>
                    <w:pageBreakBefore w:val="0"/>
                    <w:widowControl/>
                    <w:kinsoku/>
                    <w:wordWrap/>
                    <w:overflowPunct/>
                    <w:topLinePunct/>
                    <w:autoSpaceDE w:val="0"/>
                    <w:autoSpaceDN w:val="0"/>
                    <w:bidi w:val="0"/>
                    <w:adjustRightInd w:val="0"/>
                    <w:snapToGrid w:val="0"/>
                    <w:spacing w:line="240" w:lineRule="auto"/>
                    <w:ind w:left="0" w:leftChars="0" w:right="0" w:rightChars="0" w:firstLine="0" w:firstLineChars="0"/>
                    <w:jc w:val="center"/>
                    <w:textAlignment w:val="baseline"/>
                    <w:rPr>
                      <w:rFonts w:ascii="Times New Roman" w:hAnsi="Times New Roman" w:eastAsia="Times New Roman" w:cs="Times New Roman"/>
                      <w:sz w:val="21"/>
                      <w:szCs w:val="21"/>
                    </w:rPr>
                  </w:pPr>
                  <w:r>
                    <w:rPr>
                      <w:spacing w:val="9"/>
                      <w:sz w:val="21"/>
                      <w:szCs w:val="21"/>
                    </w:rPr>
                    <w:t>施工期低噪施工设备</w:t>
                  </w:r>
                </w:p>
              </w:tc>
              <w:tc>
                <w:tcPr>
                  <w:tcW w:w="541" w:type="pct"/>
                  <w:tcBorders>
                    <w:tl2br w:val="nil"/>
                    <w:tr2bl w:val="nil"/>
                  </w:tcBorders>
                  <w:vAlign w:val="center"/>
                </w:tcPr>
                <w:p w14:paraId="6F4CBC6A">
                  <w:pPr>
                    <w:keepNext w:val="0"/>
                    <w:keepLines w:val="0"/>
                    <w:pageBreakBefore w:val="0"/>
                    <w:widowControl/>
                    <w:kinsoku/>
                    <w:wordWrap/>
                    <w:overflowPunct/>
                    <w:topLinePunct/>
                    <w:autoSpaceDE w:val="0"/>
                    <w:autoSpaceDN w:val="0"/>
                    <w:bidi w:val="0"/>
                    <w:adjustRightInd w:val="0"/>
                    <w:snapToGrid w:val="0"/>
                    <w:spacing w:line="240" w:lineRule="auto"/>
                    <w:ind w:left="0" w:leftChars="0" w:right="0" w:rightChars="0" w:firstLine="0" w:firstLineChars="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z w:val="21"/>
                      <w:szCs w:val="21"/>
                    </w:rPr>
                    <w:t>2</w:t>
                  </w:r>
                </w:p>
              </w:tc>
            </w:tr>
            <w:tr w14:paraId="110A261F">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280" w:type="pct"/>
                  <w:vMerge w:val="continue"/>
                  <w:tcBorders>
                    <w:tl2br w:val="nil"/>
                    <w:tr2bl w:val="nil"/>
                  </w:tcBorders>
                  <w:textDirection w:val="tbRlV"/>
                  <w:vAlign w:val="center"/>
                </w:tcPr>
                <w:p w14:paraId="48249005">
                  <w:pPr>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rFonts w:ascii="Arial"/>
                      <w:sz w:val="21"/>
                      <w:szCs w:val="21"/>
                    </w:rPr>
                  </w:pPr>
                </w:p>
              </w:tc>
              <w:tc>
                <w:tcPr>
                  <w:tcW w:w="398" w:type="pct"/>
                  <w:tcBorders>
                    <w:tl2br w:val="nil"/>
                    <w:tr2bl w:val="nil"/>
                  </w:tcBorders>
                  <w:vAlign w:val="center"/>
                </w:tcPr>
                <w:p w14:paraId="2DAD6E20">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sz w:val="21"/>
                      <w:szCs w:val="21"/>
                    </w:rPr>
                  </w:pPr>
                  <w:r>
                    <w:rPr>
                      <w:spacing w:val="2"/>
                      <w:sz w:val="21"/>
                      <w:szCs w:val="21"/>
                    </w:rPr>
                    <w:t>固废治理</w:t>
                  </w:r>
                </w:p>
              </w:tc>
              <w:tc>
                <w:tcPr>
                  <w:tcW w:w="1872" w:type="pct"/>
                  <w:tcBorders>
                    <w:tl2br w:val="nil"/>
                    <w:tr2bl w:val="nil"/>
                  </w:tcBorders>
                  <w:vAlign w:val="center"/>
                </w:tcPr>
                <w:p w14:paraId="52464E26">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sz w:val="21"/>
                      <w:szCs w:val="21"/>
                    </w:rPr>
                  </w:pPr>
                  <w:r>
                    <w:rPr>
                      <w:spacing w:val="9"/>
                      <w:sz w:val="21"/>
                      <w:szCs w:val="21"/>
                    </w:rPr>
                    <w:t>分类收集，生活垃圾由环卫工人定期清理，建筑垃圾由建设单位收集后进行回收回用</w:t>
                  </w:r>
                </w:p>
              </w:tc>
              <w:tc>
                <w:tcPr>
                  <w:tcW w:w="572" w:type="pct"/>
                  <w:tcBorders>
                    <w:tl2br w:val="nil"/>
                    <w:tr2bl w:val="nil"/>
                  </w:tcBorders>
                  <w:vAlign w:val="center"/>
                </w:tcPr>
                <w:p w14:paraId="7940D285">
                  <w:pPr>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z w:val="21"/>
                      <w:szCs w:val="21"/>
                    </w:rPr>
                    <w:t>5</w:t>
                  </w:r>
                </w:p>
              </w:tc>
              <w:tc>
                <w:tcPr>
                  <w:tcW w:w="1333" w:type="pct"/>
                  <w:tcBorders>
                    <w:tl2br w:val="nil"/>
                    <w:tr2bl w:val="nil"/>
                  </w:tcBorders>
                  <w:vAlign w:val="center"/>
                </w:tcPr>
                <w:p w14:paraId="257535E1">
                  <w:pPr>
                    <w:pStyle w:val="22"/>
                    <w:keepNext w:val="0"/>
                    <w:keepLines w:val="0"/>
                    <w:pageBreakBefore w:val="0"/>
                    <w:widowControl/>
                    <w:kinsoku/>
                    <w:wordWrap/>
                    <w:overflowPunct/>
                    <w:topLinePunct/>
                    <w:autoSpaceDE w:val="0"/>
                    <w:autoSpaceDN w:val="0"/>
                    <w:bidi w:val="0"/>
                    <w:adjustRightInd w:val="0"/>
                    <w:snapToGrid w:val="0"/>
                    <w:spacing w:line="240" w:lineRule="auto"/>
                    <w:ind w:left="0" w:leftChars="0" w:right="0" w:rightChars="0" w:firstLine="0" w:firstLineChars="0"/>
                    <w:jc w:val="center"/>
                    <w:textAlignment w:val="baseline"/>
                    <w:rPr>
                      <w:rFonts w:ascii="Times New Roman" w:hAnsi="Times New Roman" w:eastAsia="Times New Roman" w:cs="Times New Roman"/>
                      <w:sz w:val="21"/>
                      <w:szCs w:val="21"/>
                    </w:rPr>
                  </w:pPr>
                  <w:r>
                    <w:rPr>
                      <w:spacing w:val="9"/>
                      <w:sz w:val="21"/>
                      <w:szCs w:val="21"/>
                    </w:rPr>
                    <w:t>分类收集，生活垃圾由环卫工人定期清理，建筑垃圾由建设单位收集后进行回收回用</w:t>
                  </w:r>
                </w:p>
              </w:tc>
              <w:tc>
                <w:tcPr>
                  <w:tcW w:w="541" w:type="pct"/>
                  <w:tcBorders>
                    <w:tl2br w:val="nil"/>
                    <w:tr2bl w:val="nil"/>
                  </w:tcBorders>
                  <w:vAlign w:val="center"/>
                </w:tcPr>
                <w:p w14:paraId="61FC414A">
                  <w:pPr>
                    <w:keepNext w:val="0"/>
                    <w:keepLines w:val="0"/>
                    <w:pageBreakBefore w:val="0"/>
                    <w:widowControl/>
                    <w:kinsoku/>
                    <w:wordWrap/>
                    <w:overflowPunct/>
                    <w:topLinePunct/>
                    <w:autoSpaceDE w:val="0"/>
                    <w:autoSpaceDN w:val="0"/>
                    <w:bidi w:val="0"/>
                    <w:adjustRightInd w:val="0"/>
                    <w:snapToGrid w:val="0"/>
                    <w:spacing w:line="240" w:lineRule="auto"/>
                    <w:ind w:left="0" w:leftChars="0" w:right="0" w:rightChars="0" w:firstLine="0" w:firstLineChars="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z w:val="21"/>
                      <w:szCs w:val="21"/>
                    </w:rPr>
                    <w:t>5</w:t>
                  </w:r>
                </w:p>
              </w:tc>
            </w:tr>
            <w:tr w14:paraId="771EB1FF">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280" w:type="pct"/>
                  <w:vMerge w:val="continue"/>
                  <w:tcBorders>
                    <w:tl2br w:val="nil"/>
                    <w:tr2bl w:val="nil"/>
                  </w:tcBorders>
                  <w:textDirection w:val="tbRlV"/>
                  <w:vAlign w:val="center"/>
                </w:tcPr>
                <w:p w14:paraId="5CB20F42">
                  <w:pPr>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rFonts w:ascii="Arial"/>
                      <w:sz w:val="21"/>
                      <w:szCs w:val="21"/>
                    </w:rPr>
                  </w:pPr>
                </w:p>
              </w:tc>
              <w:tc>
                <w:tcPr>
                  <w:tcW w:w="398" w:type="pct"/>
                  <w:tcBorders>
                    <w:tl2br w:val="nil"/>
                    <w:tr2bl w:val="nil"/>
                  </w:tcBorders>
                  <w:vAlign w:val="center"/>
                </w:tcPr>
                <w:p w14:paraId="74C2F90A">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sz w:val="21"/>
                      <w:szCs w:val="21"/>
                    </w:rPr>
                  </w:pPr>
                  <w:r>
                    <w:rPr>
                      <w:spacing w:val="6"/>
                      <w:sz w:val="21"/>
                      <w:szCs w:val="21"/>
                    </w:rPr>
                    <w:t>生态恢复</w:t>
                  </w:r>
                </w:p>
              </w:tc>
              <w:tc>
                <w:tcPr>
                  <w:tcW w:w="1872" w:type="pct"/>
                  <w:tcBorders>
                    <w:tl2br w:val="nil"/>
                    <w:tr2bl w:val="nil"/>
                  </w:tcBorders>
                  <w:vAlign w:val="center"/>
                </w:tcPr>
                <w:p w14:paraId="62F1D3DE">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sz w:val="21"/>
                      <w:szCs w:val="21"/>
                    </w:rPr>
                  </w:pPr>
                  <w:r>
                    <w:rPr>
                      <w:spacing w:val="9"/>
                      <w:sz w:val="21"/>
                      <w:szCs w:val="21"/>
                    </w:rPr>
                    <w:t>表土保护、控制用地、减少弃土、土地平整、植被</w:t>
                  </w:r>
                  <w:r>
                    <w:rPr>
                      <w:spacing w:val="8"/>
                      <w:sz w:val="21"/>
                      <w:szCs w:val="21"/>
                    </w:rPr>
                    <w:t>恢复及补偿等费用</w:t>
                  </w:r>
                </w:p>
              </w:tc>
              <w:tc>
                <w:tcPr>
                  <w:tcW w:w="572" w:type="pct"/>
                  <w:tcBorders>
                    <w:tl2br w:val="nil"/>
                    <w:tr2bl w:val="nil"/>
                  </w:tcBorders>
                  <w:vAlign w:val="center"/>
                </w:tcPr>
                <w:p w14:paraId="18E5934E">
                  <w:pPr>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pacing w:val="-8"/>
                      <w:sz w:val="21"/>
                      <w:szCs w:val="21"/>
                    </w:rPr>
                    <w:t>12</w:t>
                  </w:r>
                </w:p>
              </w:tc>
              <w:tc>
                <w:tcPr>
                  <w:tcW w:w="1333" w:type="pct"/>
                  <w:tcBorders>
                    <w:tl2br w:val="nil"/>
                    <w:tr2bl w:val="nil"/>
                  </w:tcBorders>
                  <w:vAlign w:val="center"/>
                </w:tcPr>
                <w:p w14:paraId="47A75B87">
                  <w:pPr>
                    <w:pStyle w:val="22"/>
                    <w:keepNext w:val="0"/>
                    <w:keepLines w:val="0"/>
                    <w:pageBreakBefore w:val="0"/>
                    <w:widowControl/>
                    <w:kinsoku/>
                    <w:wordWrap/>
                    <w:overflowPunct/>
                    <w:topLinePunct/>
                    <w:autoSpaceDE w:val="0"/>
                    <w:autoSpaceDN w:val="0"/>
                    <w:bidi w:val="0"/>
                    <w:adjustRightInd w:val="0"/>
                    <w:snapToGrid w:val="0"/>
                    <w:spacing w:line="240" w:lineRule="auto"/>
                    <w:ind w:left="0" w:leftChars="0" w:right="0" w:rightChars="0" w:firstLine="0" w:firstLineChars="0"/>
                    <w:jc w:val="center"/>
                    <w:textAlignment w:val="baseline"/>
                    <w:rPr>
                      <w:rFonts w:ascii="Times New Roman" w:hAnsi="Times New Roman" w:eastAsia="Times New Roman" w:cs="Times New Roman"/>
                      <w:spacing w:val="-8"/>
                      <w:sz w:val="21"/>
                      <w:szCs w:val="21"/>
                    </w:rPr>
                  </w:pPr>
                  <w:r>
                    <w:rPr>
                      <w:spacing w:val="9"/>
                      <w:sz w:val="21"/>
                      <w:szCs w:val="21"/>
                    </w:rPr>
                    <w:t>表土保护、控制用地、减少弃土、土地平整、植被</w:t>
                  </w:r>
                  <w:r>
                    <w:rPr>
                      <w:spacing w:val="8"/>
                      <w:sz w:val="21"/>
                      <w:szCs w:val="21"/>
                    </w:rPr>
                    <w:t>恢复及补偿等费用</w:t>
                  </w:r>
                </w:p>
              </w:tc>
              <w:tc>
                <w:tcPr>
                  <w:tcW w:w="541" w:type="pct"/>
                  <w:tcBorders>
                    <w:tl2br w:val="nil"/>
                    <w:tr2bl w:val="nil"/>
                  </w:tcBorders>
                  <w:vAlign w:val="center"/>
                </w:tcPr>
                <w:p w14:paraId="5D7D8B65">
                  <w:pPr>
                    <w:keepNext w:val="0"/>
                    <w:keepLines w:val="0"/>
                    <w:pageBreakBefore w:val="0"/>
                    <w:widowControl/>
                    <w:kinsoku/>
                    <w:wordWrap/>
                    <w:overflowPunct/>
                    <w:topLinePunct/>
                    <w:autoSpaceDE w:val="0"/>
                    <w:autoSpaceDN w:val="0"/>
                    <w:bidi w:val="0"/>
                    <w:adjustRightInd w:val="0"/>
                    <w:snapToGrid w:val="0"/>
                    <w:spacing w:line="240" w:lineRule="auto"/>
                    <w:ind w:left="0" w:leftChars="0" w:right="0" w:rightChars="0" w:firstLine="0" w:firstLineChars="0"/>
                    <w:jc w:val="center"/>
                    <w:textAlignment w:val="baseline"/>
                    <w:rPr>
                      <w:rFonts w:ascii="Times New Roman" w:hAnsi="Times New Roman" w:eastAsia="Times New Roman" w:cs="Times New Roman"/>
                      <w:spacing w:val="-8"/>
                      <w:sz w:val="21"/>
                      <w:szCs w:val="21"/>
                    </w:rPr>
                  </w:pPr>
                  <w:r>
                    <w:rPr>
                      <w:rFonts w:ascii="Times New Roman" w:hAnsi="Times New Roman" w:eastAsia="Times New Roman" w:cs="Times New Roman"/>
                      <w:spacing w:val="-8"/>
                      <w:sz w:val="21"/>
                      <w:szCs w:val="21"/>
                    </w:rPr>
                    <w:t>12</w:t>
                  </w:r>
                </w:p>
              </w:tc>
            </w:tr>
            <w:tr w14:paraId="336F8FE3">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280" w:type="pct"/>
                  <w:vMerge w:val="restart"/>
                  <w:tcBorders>
                    <w:tl2br w:val="nil"/>
                    <w:tr2bl w:val="nil"/>
                  </w:tcBorders>
                  <w:textDirection w:val="tbRlV"/>
                  <w:vAlign w:val="center"/>
                </w:tcPr>
                <w:p w14:paraId="4A97881A">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sz w:val="21"/>
                      <w:szCs w:val="21"/>
                    </w:rPr>
                  </w:pPr>
                  <w:r>
                    <w:rPr>
                      <w:spacing w:val="8"/>
                      <w:sz w:val="21"/>
                      <w:szCs w:val="21"/>
                    </w:rPr>
                    <w:t>运营期</w:t>
                  </w:r>
                </w:p>
              </w:tc>
              <w:tc>
                <w:tcPr>
                  <w:tcW w:w="398" w:type="pct"/>
                  <w:tcBorders>
                    <w:tl2br w:val="nil"/>
                    <w:tr2bl w:val="nil"/>
                  </w:tcBorders>
                  <w:vAlign w:val="center"/>
                </w:tcPr>
                <w:p w14:paraId="0C02F4F6">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sz w:val="21"/>
                      <w:szCs w:val="21"/>
                    </w:rPr>
                  </w:pPr>
                  <w:r>
                    <w:rPr>
                      <w:spacing w:val="5"/>
                      <w:sz w:val="21"/>
                      <w:szCs w:val="21"/>
                    </w:rPr>
                    <w:t>声环境</w:t>
                  </w:r>
                </w:p>
              </w:tc>
              <w:tc>
                <w:tcPr>
                  <w:tcW w:w="1872" w:type="pct"/>
                  <w:tcBorders>
                    <w:tl2br w:val="nil"/>
                    <w:tr2bl w:val="nil"/>
                  </w:tcBorders>
                  <w:vAlign w:val="center"/>
                </w:tcPr>
                <w:p w14:paraId="2725A6D5">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sz w:val="21"/>
                      <w:szCs w:val="21"/>
                    </w:rPr>
                  </w:pPr>
                  <w:r>
                    <w:rPr>
                      <w:spacing w:val="9"/>
                      <w:sz w:val="21"/>
                      <w:szCs w:val="21"/>
                    </w:rPr>
                    <w:t>在满足生产的前提下，优先选用低噪声设备</w:t>
                  </w:r>
                </w:p>
              </w:tc>
              <w:tc>
                <w:tcPr>
                  <w:tcW w:w="572" w:type="pct"/>
                  <w:tcBorders>
                    <w:tl2br w:val="nil"/>
                    <w:tr2bl w:val="nil"/>
                  </w:tcBorders>
                  <w:vAlign w:val="center"/>
                </w:tcPr>
                <w:p w14:paraId="2098639F">
                  <w:pPr>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pacing w:val="-8"/>
                      <w:sz w:val="21"/>
                      <w:szCs w:val="21"/>
                    </w:rPr>
                    <w:t>10</w:t>
                  </w:r>
                </w:p>
              </w:tc>
              <w:tc>
                <w:tcPr>
                  <w:tcW w:w="1333" w:type="pct"/>
                  <w:tcBorders>
                    <w:tl2br w:val="nil"/>
                    <w:tr2bl w:val="nil"/>
                  </w:tcBorders>
                  <w:vAlign w:val="center"/>
                </w:tcPr>
                <w:p w14:paraId="4EBD95B8">
                  <w:pPr>
                    <w:pStyle w:val="22"/>
                    <w:keepNext w:val="0"/>
                    <w:keepLines w:val="0"/>
                    <w:pageBreakBefore w:val="0"/>
                    <w:widowControl/>
                    <w:kinsoku/>
                    <w:wordWrap/>
                    <w:overflowPunct/>
                    <w:topLinePunct/>
                    <w:autoSpaceDE w:val="0"/>
                    <w:autoSpaceDN w:val="0"/>
                    <w:bidi w:val="0"/>
                    <w:adjustRightInd w:val="0"/>
                    <w:snapToGrid w:val="0"/>
                    <w:spacing w:line="240" w:lineRule="auto"/>
                    <w:ind w:left="0" w:leftChars="0" w:right="0" w:rightChars="0" w:firstLine="0" w:firstLineChars="0"/>
                    <w:jc w:val="center"/>
                    <w:textAlignment w:val="baseline"/>
                    <w:rPr>
                      <w:rFonts w:ascii="Times New Roman" w:hAnsi="Times New Roman" w:eastAsia="Times New Roman" w:cs="Times New Roman"/>
                      <w:spacing w:val="-8"/>
                      <w:sz w:val="21"/>
                      <w:szCs w:val="21"/>
                    </w:rPr>
                  </w:pPr>
                  <w:r>
                    <w:rPr>
                      <w:spacing w:val="9"/>
                      <w:sz w:val="21"/>
                      <w:szCs w:val="21"/>
                    </w:rPr>
                    <w:t>在满足生产的前提下，优先选用低噪声设备</w:t>
                  </w:r>
                </w:p>
              </w:tc>
              <w:tc>
                <w:tcPr>
                  <w:tcW w:w="541" w:type="pct"/>
                  <w:tcBorders>
                    <w:tl2br w:val="nil"/>
                    <w:tr2bl w:val="nil"/>
                  </w:tcBorders>
                  <w:vAlign w:val="center"/>
                </w:tcPr>
                <w:p w14:paraId="60D3B845">
                  <w:pPr>
                    <w:keepNext w:val="0"/>
                    <w:keepLines w:val="0"/>
                    <w:pageBreakBefore w:val="0"/>
                    <w:widowControl/>
                    <w:kinsoku/>
                    <w:wordWrap/>
                    <w:overflowPunct/>
                    <w:topLinePunct/>
                    <w:autoSpaceDE w:val="0"/>
                    <w:autoSpaceDN w:val="0"/>
                    <w:bidi w:val="0"/>
                    <w:adjustRightInd w:val="0"/>
                    <w:snapToGrid w:val="0"/>
                    <w:spacing w:line="240" w:lineRule="auto"/>
                    <w:ind w:left="0" w:leftChars="0" w:right="0" w:rightChars="0" w:firstLine="0" w:firstLineChars="0"/>
                    <w:jc w:val="center"/>
                    <w:textAlignment w:val="baseline"/>
                    <w:rPr>
                      <w:rFonts w:ascii="Times New Roman" w:hAnsi="Times New Roman" w:eastAsia="Times New Roman" w:cs="Times New Roman"/>
                      <w:spacing w:val="-8"/>
                      <w:sz w:val="21"/>
                      <w:szCs w:val="21"/>
                    </w:rPr>
                  </w:pPr>
                  <w:r>
                    <w:rPr>
                      <w:rFonts w:ascii="Times New Roman" w:hAnsi="Times New Roman" w:eastAsia="Times New Roman" w:cs="Times New Roman"/>
                      <w:spacing w:val="-8"/>
                      <w:sz w:val="21"/>
                      <w:szCs w:val="21"/>
                    </w:rPr>
                    <w:t>10</w:t>
                  </w:r>
                </w:p>
              </w:tc>
            </w:tr>
            <w:tr w14:paraId="1E9F95E7">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280" w:type="pct"/>
                  <w:vMerge w:val="continue"/>
                  <w:tcBorders>
                    <w:tl2br w:val="nil"/>
                    <w:tr2bl w:val="nil"/>
                  </w:tcBorders>
                  <w:textDirection w:val="tbRlV"/>
                  <w:vAlign w:val="center"/>
                </w:tcPr>
                <w:p w14:paraId="6A3C6DA1">
                  <w:pPr>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rFonts w:ascii="Arial"/>
                      <w:sz w:val="21"/>
                      <w:szCs w:val="21"/>
                    </w:rPr>
                  </w:pPr>
                </w:p>
              </w:tc>
              <w:tc>
                <w:tcPr>
                  <w:tcW w:w="398" w:type="pct"/>
                  <w:tcBorders>
                    <w:tl2br w:val="nil"/>
                    <w:tr2bl w:val="nil"/>
                  </w:tcBorders>
                  <w:vAlign w:val="center"/>
                </w:tcPr>
                <w:p w14:paraId="1FE69567">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sz w:val="21"/>
                      <w:szCs w:val="21"/>
                    </w:rPr>
                  </w:pPr>
                  <w:r>
                    <w:rPr>
                      <w:spacing w:val="6"/>
                      <w:sz w:val="21"/>
                      <w:szCs w:val="21"/>
                    </w:rPr>
                    <w:t>生态环境</w:t>
                  </w:r>
                </w:p>
              </w:tc>
              <w:tc>
                <w:tcPr>
                  <w:tcW w:w="1872" w:type="pct"/>
                  <w:tcBorders>
                    <w:tl2br w:val="nil"/>
                    <w:tr2bl w:val="nil"/>
                  </w:tcBorders>
                  <w:vAlign w:val="center"/>
                </w:tcPr>
                <w:p w14:paraId="787F70FF">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sz w:val="21"/>
                      <w:szCs w:val="21"/>
                    </w:rPr>
                  </w:pPr>
                  <w:r>
                    <w:rPr>
                      <w:spacing w:val="8"/>
                      <w:sz w:val="21"/>
                      <w:szCs w:val="21"/>
                    </w:rPr>
                    <w:t>加强运维管理（纳入运行维护费用）</w:t>
                  </w:r>
                </w:p>
              </w:tc>
              <w:tc>
                <w:tcPr>
                  <w:tcW w:w="572" w:type="pct"/>
                  <w:tcBorders>
                    <w:tl2br w:val="nil"/>
                    <w:tr2bl w:val="nil"/>
                  </w:tcBorders>
                  <w:vAlign w:val="center"/>
                </w:tcPr>
                <w:p w14:paraId="32ADF9B1">
                  <w:pPr>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z w:val="21"/>
                      <w:szCs w:val="21"/>
                    </w:rPr>
                    <w:t>0</w:t>
                  </w:r>
                </w:p>
              </w:tc>
              <w:tc>
                <w:tcPr>
                  <w:tcW w:w="1333" w:type="pct"/>
                  <w:tcBorders>
                    <w:tl2br w:val="nil"/>
                    <w:tr2bl w:val="nil"/>
                  </w:tcBorders>
                  <w:vAlign w:val="center"/>
                </w:tcPr>
                <w:p w14:paraId="4E235913">
                  <w:pPr>
                    <w:pStyle w:val="22"/>
                    <w:keepNext w:val="0"/>
                    <w:keepLines w:val="0"/>
                    <w:pageBreakBefore w:val="0"/>
                    <w:widowControl/>
                    <w:kinsoku/>
                    <w:wordWrap/>
                    <w:overflowPunct/>
                    <w:topLinePunct/>
                    <w:autoSpaceDE w:val="0"/>
                    <w:autoSpaceDN w:val="0"/>
                    <w:bidi w:val="0"/>
                    <w:adjustRightInd w:val="0"/>
                    <w:snapToGrid w:val="0"/>
                    <w:spacing w:line="240" w:lineRule="auto"/>
                    <w:ind w:left="0" w:leftChars="0" w:right="0" w:rightChars="0" w:firstLine="0" w:firstLineChars="0"/>
                    <w:jc w:val="center"/>
                    <w:textAlignment w:val="baseline"/>
                    <w:rPr>
                      <w:rFonts w:ascii="Times New Roman" w:hAnsi="Times New Roman" w:eastAsia="Times New Roman" w:cs="Times New Roman"/>
                      <w:sz w:val="21"/>
                      <w:szCs w:val="21"/>
                    </w:rPr>
                  </w:pPr>
                  <w:r>
                    <w:rPr>
                      <w:spacing w:val="8"/>
                      <w:sz w:val="21"/>
                      <w:szCs w:val="21"/>
                    </w:rPr>
                    <w:t>加强运维管理（纳入运行维护费用）</w:t>
                  </w:r>
                </w:p>
              </w:tc>
              <w:tc>
                <w:tcPr>
                  <w:tcW w:w="541" w:type="pct"/>
                  <w:tcBorders>
                    <w:tl2br w:val="nil"/>
                    <w:tr2bl w:val="nil"/>
                  </w:tcBorders>
                  <w:vAlign w:val="center"/>
                </w:tcPr>
                <w:p w14:paraId="46AF9DFE">
                  <w:pPr>
                    <w:keepNext w:val="0"/>
                    <w:keepLines w:val="0"/>
                    <w:pageBreakBefore w:val="0"/>
                    <w:widowControl/>
                    <w:kinsoku/>
                    <w:wordWrap/>
                    <w:overflowPunct/>
                    <w:topLinePunct/>
                    <w:autoSpaceDE w:val="0"/>
                    <w:autoSpaceDN w:val="0"/>
                    <w:bidi w:val="0"/>
                    <w:adjustRightInd w:val="0"/>
                    <w:snapToGrid w:val="0"/>
                    <w:spacing w:line="240" w:lineRule="auto"/>
                    <w:ind w:left="0" w:leftChars="0" w:right="0" w:rightChars="0" w:firstLine="0" w:firstLineChars="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z w:val="21"/>
                      <w:szCs w:val="21"/>
                    </w:rPr>
                    <w:t>0</w:t>
                  </w:r>
                </w:p>
              </w:tc>
            </w:tr>
            <w:tr w14:paraId="09D81317">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280" w:type="pct"/>
                  <w:vMerge w:val="continue"/>
                  <w:tcBorders>
                    <w:tl2br w:val="nil"/>
                    <w:tr2bl w:val="nil"/>
                  </w:tcBorders>
                  <w:textDirection w:val="tbRlV"/>
                  <w:vAlign w:val="center"/>
                </w:tcPr>
                <w:p w14:paraId="1FBB4594">
                  <w:pPr>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rFonts w:ascii="Arial"/>
                      <w:sz w:val="21"/>
                      <w:szCs w:val="21"/>
                    </w:rPr>
                  </w:pPr>
                </w:p>
              </w:tc>
              <w:tc>
                <w:tcPr>
                  <w:tcW w:w="398" w:type="pct"/>
                  <w:tcBorders>
                    <w:tl2br w:val="nil"/>
                    <w:tr2bl w:val="nil"/>
                  </w:tcBorders>
                  <w:vAlign w:val="center"/>
                </w:tcPr>
                <w:p w14:paraId="5D03C83F">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rFonts w:hint="eastAsia" w:eastAsia="宋体"/>
                      <w:spacing w:val="6"/>
                      <w:sz w:val="21"/>
                      <w:szCs w:val="21"/>
                      <w:lang w:val="en-US" w:eastAsia="zh-CN"/>
                    </w:rPr>
                  </w:pPr>
                  <w:r>
                    <w:rPr>
                      <w:rFonts w:hint="eastAsia"/>
                      <w:spacing w:val="6"/>
                      <w:sz w:val="21"/>
                      <w:szCs w:val="21"/>
                      <w:lang w:val="en-US" w:eastAsia="zh-CN"/>
                    </w:rPr>
                    <w:t>废水</w:t>
                  </w:r>
                </w:p>
              </w:tc>
              <w:tc>
                <w:tcPr>
                  <w:tcW w:w="1872" w:type="pct"/>
                  <w:tcBorders>
                    <w:tl2br w:val="nil"/>
                    <w:tr2bl w:val="nil"/>
                  </w:tcBorders>
                  <w:vAlign w:val="center"/>
                </w:tcPr>
                <w:p w14:paraId="401755FD">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spacing w:val="8"/>
                      <w:sz w:val="21"/>
                      <w:szCs w:val="21"/>
                    </w:rPr>
                  </w:pPr>
                  <w:r>
                    <w:rPr>
                      <w:spacing w:val="9"/>
                      <w:sz w:val="21"/>
                      <w:szCs w:val="21"/>
                    </w:rPr>
                    <w:t>地埋式一体化污水处理设施（接触氧化</w:t>
                  </w:r>
                  <w:r>
                    <w:rPr>
                      <w:rFonts w:ascii="Times New Roman" w:hAnsi="Times New Roman" w:eastAsia="Times New Roman" w:cs="Times New Roman"/>
                      <w:spacing w:val="9"/>
                      <w:sz w:val="21"/>
                      <w:szCs w:val="21"/>
                    </w:rPr>
                    <w:t>+</w:t>
                  </w:r>
                  <w:r>
                    <w:rPr>
                      <w:spacing w:val="9"/>
                      <w:sz w:val="21"/>
                      <w:szCs w:val="21"/>
                    </w:rPr>
                    <w:t>沉淀）</w:t>
                  </w:r>
                  <w:r>
                    <w:rPr>
                      <w:spacing w:val="6"/>
                      <w:sz w:val="21"/>
                      <w:szCs w:val="21"/>
                    </w:rPr>
                    <w:t>处理后回用于站区绿化，废水不外排，地埋式污水处理设施处理能力</w:t>
                  </w:r>
                  <w:r>
                    <w:rPr>
                      <w:rFonts w:ascii="Times New Roman" w:hAnsi="Times New Roman" w:eastAsia="Times New Roman" w:cs="Times New Roman"/>
                      <w:spacing w:val="6"/>
                      <w:sz w:val="21"/>
                      <w:szCs w:val="21"/>
                    </w:rPr>
                    <w:t>5m</w:t>
                  </w:r>
                  <w:r>
                    <w:rPr>
                      <w:rFonts w:hint="eastAsia" w:ascii="Times New Roman" w:hAnsi="Times New Roman" w:eastAsia="宋体" w:cs="Times New Roman"/>
                      <w:spacing w:val="6"/>
                      <w:sz w:val="21"/>
                      <w:szCs w:val="21"/>
                      <w:vertAlign w:val="superscript"/>
                      <w:lang w:val="en-US" w:eastAsia="zh-CN"/>
                    </w:rPr>
                    <w:t>3</w:t>
                  </w:r>
                  <w:r>
                    <w:rPr>
                      <w:rFonts w:ascii="Times New Roman" w:hAnsi="Times New Roman" w:eastAsia="Times New Roman" w:cs="Times New Roman"/>
                      <w:spacing w:val="6"/>
                      <w:sz w:val="21"/>
                      <w:szCs w:val="21"/>
                    </w:rPr>
                    <w:t>/h</w:t>
                  </w:r>
                </w:p>
              </w:tc>
              <w:tc>
                <w:tcPr>
                  <w:tcW w:w="572" w:type="pct"/>
                  <w:tcBorders>
                    <w:tl2br w:val="nil"/>
                    <w:tr2bl w:val="nil"/>
                  </w:tcBorders>
                  <w:vAlign w:val="center"/>
                </w:tcPr>
                <w:p w14:paraId="503F5132">
                  <w:pPr>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w:t>
                  </w:r>
                </w:p>
              </w:tc>
              <w:tc>
                <w:tcPr>
                  <w:tcW w:w="1333" w:type="pct"/>
                  <w:tcBorders>
                    <w:tl2br w:val="nil"/>
                    <w:tr2bl w:val="nil"/>
                  </w:tcBorders>
                  <w:vAlign w:val="center"/>
                </w:tcPr>
                <w:p w14:paraId="09B99B7A">
                  <w:pPr>
                    <w:pStyle w:val="22"/>
                    <w:keepNext w:val="0"/>
                    <w:keepLines w:val="0"/>
                    <w:pageBreakBefore w:val="0"/>
                    <w:widowControl/>
                    <w:kinsoku/>
                    <w:wordWrap/>
                    <w:overflowPunct/>
                    <w:topLinePunct/>
                    <w:autoSpaceDE w:val="0"/>
                    <w:autoSpaceDN w:val="0"/>
                    <w:bidi w:val="0"/>
                    <w:adjustRightInd w:val="0"/>
                    <w:snapToGrid w:val="0"/>
                    <w:spacing w:line="240" w:lineRule="auto"/>
                    <w:ind w:left="0" w:leftChars="0" w:right="0" w:rightChars="0" w:firstLine="0" w:firstLineChars="0"/>
                    <w:jc w:val="center"/>
                    <w:textAlignment w:val="baseline"/>
                    <w:rPr>
                      <w:rFonts w:hint="eastAsia" w:ascii="Times New Roman" w:hAnsi="Times New Roman" w:eastAsia="宋体" w:cs="Times New Roman"/>
                      <w:color w:val="FF0000"/>
                      <w:sz w:val="21"/>
                      <w:szCs w:val="21"/>
                      <w:lang w:val="en-US" w:eastAsia="zh-CN"/>
                    </w:rPr>
                  </w:pPr>
                  <w:r>
                    <w:rPr>
                      <w:spacing w:val="6"/>
                      <w:sz w:val="21"/>
                      <w:szCs w:val="21"/>
                    </w:rPr>
                    <w:t>生活污水经</w:t>
                  </w:r>
                  <w:r>
                    <w:rPr>
                      <w:rFonts w:hint="eastAsia" w:eastAsia="宋体"/>
                      <w:spacing w:val="6"/>
                      <w:sz w:val="21"/>
                      <w:szCs w:val="21"/>
                      <w:lang w:val="en-US" w:eastAsia="zh-CN"/>
                    </w:rPr>
                    <w:t>化粪池预处理后定期清掏</w:t>
                  </w:r>
                </w:p>
              </w:tc>
              <w:tc>
                <w:tcPr>
                  <w:tcW w:w="541" w:type="pct"/>
                  <w:tcBorders>
                    <w:tl2br w:val="nil"/>
                    <w:tr2bl w:val="nil"/>
                  </w:tcBorders>
                  <w:vAlign w:val="center"/>
                </w:tcPr>
                <w:p w14:paraId="3AFDBB52">
                  <w:pPr>
                    <w:keepNext w:val="0"/>
                    <w:keepLines w:val="0"/>
                    <w:pageBreakBefore w:val="0"/>
                    <w:widowControl/>
                    <w:kinsoku/>
                    <w:wordWrap/>
                    <w:overflowPunct/>
                    <w:topLinePunct/>
                    <w:autoSpaceDE w:val="0"/>
                    <w:autoSpaceDN w:val="0"/>
                    <w:bidi w:val="0"/>
                    <w:adjustRightInd w:val="0"/>
                    <w:snapToGrid w:val="0"/>
                    <w:spacing w:line="240" w:lineRule="auto"/>
                    <w:ind w:left="0" w:leftChars="0" w:right="0" w:rightChars="0" w:firstLine="0" w:firstLineChars="0"/>
                    <w:jc w:val="center"/>
                    <w:textAlignment w:val="baseline"/>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p>
              </w:tc>
            </w:tr>
            <w:tr w14:paraId="164E0A32">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280" w:type="pct"/>
                  <w:vMerge w:val="continue"/>
                  <w:tcBorders>
                    <w:tl2br w:val="nil"/>
                    <w:tr2bl w:val="nil"/>
                  </w:tcBorders>
                  <w:textDirection w:val="tbRlV"/>
                  <w:vAlign w:val="center"/>
                </w:tcPr>
                <w:p w14:paraId="49BD04CD">
                  <w:pPr>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rFonts w:ascii="Arial"/>
                      <w:sz w:val="21"/>
                      <w:szCs w:val="21"/>
                    </w:rPr>
                  </w:pPr>
                </w:p>
              </w:tc>
              <w:tc>
                <w:tcPr>
                  <w:tcW w:w="398" w:type="pct"/>
                  <w:tcBorders>
                    <w:tl2br w:val="nil"/>
                    <w:tr2bl w:val="nil"/>
                  </w:tcBorders>
                  <w:vAlign w:val="center"/>
                </w:tcPr>
                <w:p w14:paraId="2A141951">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sz w:val="21"/>
                      <w:szCs w:val="21"/>
                    </w:rPr>
                  </w:pPr>
                  <w:r>
                    <w:rPr>
                      <w:spacing w:val="2"/>
                      <w:sz w:val="21"/>
                      <w:szCs w:val="21"/>
                    </w:rPr>
                    <w:t>固体废物</w:t>
                  </w:r>
                </w:p>
              </w:tc>
              <w:tc>
                <w:tcPr>
                  <w:tcW w:w="1872" w:type="pct"/>
                  <w:tcBorders>
                    <w:tl2br w:val="nil"/>
                    <w:tr2bl w:val="nil"/>
                  </w:tcBorders>
                  <w:vAlign w:val="center"/>
                </w:tcPr>
                <w:p w14:paraId="75763B7A">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sz w:val="21"/>
                      <w:szCs w:val="21"/>
                    </w:rPr>
                  </w:pPr>
                  <w:r>
                    <w:rPr>
                      <w:spacing w:val="7"/>
                      <w:sz w:val="21"/>
                      <w:szCs w:val="21"/>
                    </w:rPr>
                    <w:t>新建一座</w:t>
                  </w:r>
                  <w:r>
                    <w:rPr>
                      <w:rFonts w:hint="eastAsia" w:ascii="Times New Roman" w:hAnsi="Times New Roman" w:cs="Times New Roman"/>
                      <w:spacing w:val="7"/>
                      <w:sz w:val="21"/>
                      <w:szCs w:val="21"/>
                      <w:lang w:val="en-US" w:eastAsia="zh-CN"/>
                    </w:rPr>
                    <w:t>17.82</w:t>
                  </w:r>
                  <w:r>
                    <w:rPr>
                      <w:rFonts w:ascii="Times New Roman" w:hAnsi="Times New Roman" w:eastAsia="Times New Roman" w:cs="Times New Roman"/>
                      <w:spacing w:val="7"/>
                      <w:sz w:val="21"/>
                      <w:szCs w:val="21"/>
                    </w:rPr>
                    <w:t>m</w:t>
                  </w:r>
                  <w:r>
                    <w:rPr>
                      <w:rFonts w:hint="eastAsia" w:ascii="Times New Roman" w:hAnsi="Times New Roman" w:eastAsia="宋体" w:cs="Times New Roman"/>
                      <w:spacing w:val="7"/>
                      <w:sz w:val="21"/>
                      <w:szCs w:val="21"/>
                      <w:vertAlign w:val="superscript"/>
                      <w:lang w:val="en-US" w:eastAsia="zh-CN"/>
                    </w:rPr>
                    <w:t>2</w:t>
                  </w:r>
                  <w:r>
                    <w:rPr>
                      <w:spacing w:val="7"/>
                      <w:sz w:val="21"/>
                      <w:szCs w:val="21"/>
                    </w:rPr>
                    <w:t>危废暂存库，委托有资质单位处理</w:t>
                  </w:r>
                </w:p>
              </w:tc>
              <w:tc>
                <w:tcPr>
                  <w:tcW w:w="572" w:type="pct"/>
                  <w:tcBorders>
                    <w:tl2br w:val="nil"/>
                    <w:tr2bl w:val="nil"/>
                  </w:tcBorders>
                  <w:vAlign w:val="center"/>
                </w:tcPr>
                <w:p w14:paraId="78200FD1">
                  <w:pPr>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2</w:t>
                  </w:r>
                </w:p>
              </w:tc>
              <w:tc>
                <w:tcPr>
                  <w:tcW w:w="1333" w:type="pct"/>
                  <w:tcBorders>
                    <w:tl2br w:val="nil"/>
                    <w:tr2bl w:val="nil"/>
                  </w:tcBorders>
                  <w:vAlign w:val="center"/>
                </w:tcPr>
                <w:p w14:paraId="601ECD64">
                  <w:pPr>
                    <w:pStyle w:val="22"/>
                    <w:keepNext w:val="0"/>
                    <w:keepLines w:val="0"/>
                    <w:pageBreakBefore w:val="0"/>
                    <w:widowControl/>
                    <w:kinsoku/>
                    <w:wordWrap/>
                    <w:overflowPunct/>
                    <w:topLinePunct/>
                    <w:autoSpaceDE w:val="0"/>
                    <w:autoSpaceDN w:val="0"/>
                    <w:bidi w:val="0"/>
                    <w:adjustRightInd w:val="0"/>
                    <w:snapToGrid w:val="0"/>
                    <w:spacing w:line="240" w:lineRule="auto"/>
                    <w:ind w:left="0" w:leftChars="0" w:right="0" w:rightChars="0" w:firstLine="0" w:firstLineChars="0"/>
                    <w:jc w:val="center"/>
                    <w:textAlignment w:val="baseline"/>
                    <w:rPr>
                      <w:rFonts w:hint="eastAsia" w:ascii="Times New Roman" w:hAnsi="Times New Roman" w:eastAsia="宋体" w:cs="Times New Roman"/>
                      <w:sz w:val="21"/>
                      <w:szCs w:val="21"/>
                      <w:lang w:val="en-US" w:eastAsia="zh-CN"/>
                    </w:rPr>
                  </w:pPr>
                  <w:r>
                    <w:rPr>
                      <w:spacing w:val="7"/>
                      <w:sz w:val="21"/>
                      <w:szCs w:val="21"/>
                    </w:rPr>
                    <w:t>新建一座</w:t>
                  </w:r>
                  <w:r>
                    <w:rPr>
                      <w:rFonts w:hint="eastAsia" w:ascii="Times New Roman" w:hAnsi="Times New Roman" w:cs="Times New Roman"/>
                      <w:spacing w:val="7"/>
                      <w:sz w:val="21"/>
                      <w:szCs w:val="21"/>
                      <w:lang w:val="en-US" w:eastAsia="zh-CN"/>
                    </w:rPr>
                    <w:t>20.87</w:t>
                  </w:r>
                  <w:r>
                    <w:rPr>
                      <w:rFonts w:ascii="Times New Roman" w:hAnsi="Times New Roman" w:eastAsia="Times New Roman" w:cs="Times New Roman"/>
                      <w:spacing w:val="7"/>
                      <w:sz w:val="21"/>
                      <w:szCs w:val="21"/>
                    </w:rPr>
                    <w:t>m</w:t>
                  </w:r>
                  <w:r>
                    <w:rPr>
                      <w:rFonts w:hint="eastAsia" w:ascii="Times New Roman" w:hAnsi="Times New Roman" w:eastAsia="宋体" w:cs="Times New Roman"/>
                      <w:spacing w:val="7"/>
                      <w:sz w:val="21"/>
                      <w:szCs w:val="21"/>
                      <w:vertAlign w:val="superscript"/>
                      <w:lang w:val="en-US" w:eastAsia="zh-CN"/>
                    </w:rPr>
                    <w:t>2</w:t>
                  </w:r>
                  <w:r>
                    <w:rPr>
                      <w:spacing w:val="7"/>
                      <w:sz w:val="21"/>
                      <w:szCs w:val="21"/>
                    </w:rPr>
                    <w:t>危废暂存库，委托有资质单位处理</w:t>
                  </w:r>
                </w:p>
              </w:tc>
              <w:tc>
                <w:tcPr>
                  <w:tcW w:w="541" w:type="pct"/>
                  <w:tcBorders>
                    <w:tl2br w:val="nil"/>
                    <w:tr2bl w:val="nil"/>
                  </w:tcBorders>
                  <w:vAlign w:val="center"/>
                </w:tcPr>
                <w:p w14:paraId="7F2A78E8">
                  <w:pPr>
                    <w:keepNext w:val="0"/>
                    <w:keepLines w:val="0"/>
                    <w:pageBreakBefore w:val="0"/>
                    <w:widowControl/>
                    <w:kinsoku/>
                    <w:wordWrap/>
                    <w:overflowPunct/>
                    <w:topLinePunct/>
                    <w:autoSpaceDE w:val="0"/>
                    <w:autoSpaceDN w:val="0"/>
                    <w:bidi w:val="0"/>
                    <w:adjustRightInd w:val="0"/>
                    <w:snapToGrid w:val="0"/>
                    <w:spacing w:line="240" w:lineRule="auto"/>
                    <w:ind w:left="0" w:leftChars="0" w:right="0" w:rightChars="0" w:firstLine="0" w:firstLineChars="0"/>
                    <w:jc w:val="center"/>
                    <w:textAlignment w:val="baseline"/>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p>
              </w:tc>
            </w:tr>
            <w:tr w14:paraId="1D908D44">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280" w:type="pct"/>
                  <w:vMerge w:val="continue"/>
                  <w:tcBorders>
                    <w:tl2br w:val="nil"/>
                    <w:tr2bl w:val="nil"/>
                  </w:tcBorders>
                  <w:textDirection w:val="tbRlV"/>
                  <w:vAlign w:val="center"/>
                </w:tcPr>
                <w:p w14:paraId="5DB11FD6">
                  <w:pPr>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rFonts w:ascii="Arial"/>
                      <w:sz w:val="21"/>
                      <w:szCs w:val="21"/>
                    </w:rPr>
                  </w:pPr>
                </w:p>
              </w:tc>
              <w:tc>
                <w:tcPr>
                  <w:tcW w:w="398" w:type="pct"/>
                  <w:tcBorders>
                    <w:tl2br w:val="nil"/>
                    <w:tr2bl w:val="nil"/>
                  </w:tcBorders>
                  <w:vAlign w:val="center"/>
                </w:tcPr>
                <w:p w14:paraId="2A6D9C4C">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sz w:val="21"/>
                      <w:szCs w:val="21"/>
                    </w:rPr>
                  </w:pPr>
                  <w:r>
                    <w:rPr>
                      <w:spacing w:val="7"/>
                      <w:sz w:val="21"/>
                      <w:szCs w:val="21"/>
                    </w:rPr>
                    <w:t>环境风险</w:t>
                  </w:r>
                </w:p>
              </w:tc>
              <w:tc>
                <w:tcPr>
                  <w:tcW w:w="1872" w:type="pct"/>
                  <w:tcBorders>
                    <w:tl2br w:val="nil"/>
                    <w:tr2bl w:val="nil"/>
                  </w:tcBorders>
                  <w:vAlign w:val="center"/>
                </w:tcPr>
                <w:p w14:paraId="1DA7525B">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sz w:val="21"/>
                      <w:szCs w:val="21"/>
                    </w:rPr>
                  </w:pPr>
                  <w:r>
                    <w:rPr>
                      <w:spacing w:val="5"/>
                      <w:sz w:val="21"/>
                      <w:szCs w:val="21"/>
                    </w:rPr>
                    <w:t>设置</w:t>
                  </w:r>
                  <w:r>
                    <w:rPr>
                      <w:rFonts w:ascii="Times New Roman" w:hAnsi="Times New Roman" w:eastAsia="Times New Roman" w:cs="Times New Roman"/>
                      <w:spacing w:val="5"/>
                      <w:sz w:val="21"/>
                      <w:szCs w:val="21"/>
                    </w:rPr>
                    <w:t>1</w:t>
                  </w:r>
                  <w:r>
                    <w:rPr>
                      <w:spacing w:val="5"/>
                      <w:sz w:val="21"/>
                      <w:szCs w:val="21"/>
                    </w:rPr>
                    <w:t>座</w:t>
                  </w:r>
                  <w:r>
                    <w:rPr>
                      <w:rFonts w:ascii="Times New Roman" w:hAnsi="Times New Roman" w:eastAsia="Times New Roman" w:cs="Times New Roman"/>
                      <w:spacing w:val="5"/>
                      <w:sz w:val="21"/>
                      <w:szCs w:val="21"/>
                    </w:rPr>
                    <w:t>40m</w:t>
                  </w:r>
                  <w:r>
                    <w:rPr>
                      <w:rFonts w:hint="eastAsia" w:ascii="Times New Roman" w:hAnsi="Times New Roman" w:eastAsia="宋体" w:cs="Times New Roman"/>
                      <w:spacing w:val="5"/>
                      <w:sz w:val="21"/>
                      <w:szCs w:val="21"/>
                      <w:vertAlign w:val="superscript"/>
                      <w:lang w:val="en-US" w:eastAsia="zh-CN"/>
                    </w:rPr>
                    <w:t>3</w:t>
                  </w:r>
                  <w:r>
                    <w:rPr>
                      <w:spacing w:val="5"/>
                      <w:sz w:val="21"/>
                      <w:szCs w:val="21"/>
                    </w:rPr>
                    <w:t>的事故油池收集事故状态下的废变</w:t>
                  </w:r>
                  <w:r>
                    <w:rPr>
                      <w:spacing w:val="9"/>
                      <w:sz w:val="21"/>
                      <w:szCs w:val="21"/>
                    </w:rPr>
                    <w:t>压器油，委托有资质单位进行处理处置</w:t>
                  </w:r>
                </w:p>
              </w:tc>
              <w:tc>
                <w:tcPr>
                  <w:tcW w:w="572" w:type="pct"/>
                  <w:tcBorders>
                    <w:tl2br w:val="nil"/>
                    <w:tr2bl w:val="nil"/>
                  </w:tcBorders>
                  <w:vAlign w:val="center"/>
                </w:tcPr>
                <w:p w14:paraId="45D95A87">
                  <w:pPr>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pacing w:val="-8"/>
                      <w:sz w:val="21"/>
                      <w:szCs w:val="21"/>
                    </w:rPr>
                    <w:t>10</w:t>
                  </w:r>
                </w:p>
              </w:tc>
              <w:tc>
                <w:tcPr>
                  <w:tcW w:w="1333" w:type="pct"/>
                  <w:tcBorders>
                    <w:tl2br w:val="nil"/>
                    <w:tr2bl w:val="nil"/>
                  </w:tcBorders>
                  <w:vAlign w:val="center"/>
                </w:tcPr>
                <w:p w14:paraId="33E80E2B">
                  <w:pPr>
                    <w:pStyle w:val="22"/>
                    <w:keepNext w:val="0"/>
                    <w:keepLines w:val="0"/>
                    <w:pageBreakBefore w:val="0"/>
                    <w:widowControl/>
                    <w:kinsoku/>
                    <w:wordWrap/>
                    <w:overflowPunct/>
                    <w:topLinePunct/>
                    <w:autoSpaceDE w:val="0"/>
                    <w:autoSpaceDN w:val="0"/>
                    <w:bidi w:val="0"/>
                    <w:adjustRightInd w:val="0"/>
                    <w:snapToGrid w:val="0"/>
                    <w:spacing w:line="240" w:lineRule="auto"/>
                    <w:ind w:left="0" w:leftChars="0" w:right="0" w:rightChars="0" w:firstLine="0" w:firstLineChars="0"/>
                    <w:jc w:val="center"/>
                    <w:textAlignment w:val="baseline"/>
                    <w:rPr>
                      <w:rFonts w:ascii="Times New Roman" w:hAnsi="Times New Roman" w:eastAsia="Times New Roman" w:cs="Times New Roman"/>
                      <w:spacing w:val="-8"/>
                      <w:sz w:val="21"/>
                      <w:szCs w:val="21"/>
                    </w:rPr>
                  </w:pPr>
                  <w:r>
                    <w:rPr>
                      <w:spacing w:val="5"/>
                      <w:sz w:val="21"/>
                      <w:szCs w:val="21"/>
                    </w:rPr>
                    <w:t>设置</w:t>
                  </w:r>
                  <w:r>
                    <w:rPr>
                      <w:rFonts w:ascii="Times New Roman" w:hAnsi="Times New Roman" w:eastAsia="Times New Roman" w:cs="Times New Roman"/>
                      <w:spacing w:val="5"/>
                      <w:sz w:val="21"/>
                      <w:szCs w:val="21"/>
                    </w:rPr>
                    <w:t>1</w:t>
                  </w:r>
                  <w:r>
                    <w:rPr>
                      <w:spacing w:val="5"/>
                      <w:sz w:val="21"/>
                      <w:szCs w:val="21"/>
                    </w:rPr>
                    <w:t>座</w:t>
                  </w:r>
                  <w:r>
                    <w:rPr>
                      <w:rFonts w:ascii="Times New Roman" w:hAnsi="Times New Roman" w:eastAsia="Times New Roman" w:cs="Times New Roman"/>
                      <w:spacing w:val="5"/>
                      <w:sz w:val="21"/>
                      <w:szCs w:val="21"/>
                    </w:rPr>
                    <w:t>40m</w:t>
                  </w:r>
                  <w:r>
                    <w:rPr>
                      <w:rFonts w:hint="eastAsia" w:ascii="Times New Roman" w:hAnsi="Times New Roman" w:eastAsia="宋体" w:cs="Times New Roman"/>
                      <w:spacing w:val="5"/>
                      <w:sz w:val="21"/>
                      <w:szCs w:val="21"/>
                      <w:vertAlign w:val="superscript"/>
                      <w:lang w:val="en-US" w:eastAsia="zh-CN"/>
                    </w:rPr>
                    <w:t>3</w:t>
                  </w:r>
                  <w:r>
                    <w:rPr>
                      <w:spacing w:val="5"/>
                      <w:sz w:val="21"/>
                      <w:szCs w:val="21"/>
                    </w:rPr>
                    <w:t>的事故油池收集事故状态下的废变</w:t>
                  </w:r>
                  <w:r>
                    <w:rPr>
                      <w:spacing w:val="9"/>
                      <w:sz w:val="21"/>
                      <w:szCs w:val="21"/>
                    </w:rPr>
                    <w:t>压器油，委托有资质单位进行处理处置</w:t>
                  </w:r>
                </w:p>
              </w:tc>
              <w:tc>
                <w:tcPr>
                  <w:tcW w:w="541" w:type="pct"/>
                  <w:tcBorders>
                    <w:tl2br w:val="nil"/>
                    <w:tr2bl w:val="nil"/>
                  </w:tcBorders>
                  <w:vAlign w:val="center"/>
                </w:tcPr>
                <w:p w14:paraId="37270E85">
                  <w:pPr>
                    <w:keepNext w:val="0"/>
                    <w:keepLines w:val="0"/>
                    <w:pageBreakBefore w:val="0"/>
                    <w:widowControl/>
                    <w:kinsoku/>
                    <w:wordWrap/>
                    <w:overflowPunct/>
                    <w:topLinePunct/>
                    <w:autoSpaceDE w:val="0"/>
                    <w:autoSpaceDN w:val="0"/>
                    <w:bidi w:val="0"/>
                    <w:adjustRightInd w:val="0"/>
                    <w:snapToGrid w:val="0"/>
                    <w:spacing w:line="240" w:lineRule="auto"/>
                    <w:ind w:left="0" w:leftChars="0" w:right="0" w:rightChars="0" w:firstLine="0" w:firstLineChars="0"/>
                    <w:jc w:val="center"/>
                    <w:textAlignment w:val="baseline"/>
                    <w:rPr>
                      <w:rFonts w:ascii="Times New Roman" w:hAnsi="Times New Roman" w:eastAsia="Times New Roman" w:cs="Times New Roman"/>
                      <w:color w:val="000000" w:themeColor="text1"/>
                      <w:spacing w:val="-8"/>
                      <w:sz w:val="21"/>
                      <w:szCs w:val="21"/>
                      <w14:textFill>
                        <w14:solidFill>
                          <w14:schemeClr w14:val="tx1"/>
                        </w14:solidFill>
                      </w14:textFill>
                    </w:rPr>
                  </w:pPr>
                  <w:r>
                    <w:rPr>
                      <w:rFonts w:ascii="Times New Roman" w:hAnsi="Times New Roman" w:eastAsia="Times New Roman" w:cs="Times New Roman"/>
                      <w:color w:val="000000" w:themeColor="text1"/>
                      <w:spacing w:val="-8"/>
                      <w:sz w:val="21"/>
                      <w:szCs w:val="21"/>
                      <w14:textFill>
                        <w14:solidFill>
                          <w14:schemeClr w14:val="tx1"/>
                        </w14:solidFill>
                      </w14:textFill>
                    </w:rPr>
                    <w:t>10</w:t>
                  </w:r>
                </w:p>
              </w:tc>
            </w:tr>
            <w:tr w14:paraId="68A06677">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679" w:type="pct"/>
                  <w:gridSpan w:val="2"/>
                  <w:tcBorders>
                    <w:tl2br w:val="nil"/>
                    <w:tr2bl w:val="nil"/>
                  </w:tcBorders>
                  <w:vAlign w:val="center"/>
                </w:tcPr>
                <w:p w14:paraId="7723B2FB">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sz w:val="21"/>
                      <w:szCs w:val="21"/>
                    </w:rPr>
                  </w:pPr>
                  <w:r>
                    <w:rPr>
                      <w:spacing w:val="8"/>
                      <w:sz w:val="21"/>
                      <w:szCs w:val="21"/>
                    </w:rPr>
                    <w:t>运行维护费用</w:t>
                  </w:r>
                </w:p>
              </w:tc>
              <w:tc>
                <w:tcPr>
                  <w:tcW w:w="1872" w:type="pct"/>
                  <w:tcBorders>
                    <w:tl2br w:val="nil"/>
                    <w:tr2bl w:val="nil"/>
                  </w:tcBorders>
                  <w:vAlign w:val="center"/>
                </w:tcPr>
                <w:p w14:paraId="519B8CBE">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sz w:val="21"/>
                      <w:szCs w:val="21"/>
                    </w:rPr>
                  </w:pPr>
                  <w:r>
                    <w:rPr>
                      <w:spacing w:val="8"/>
                      <w:sz w:val="21"/>
                      <w:szCs w:val="21"/>
                    </w:rPr>
                    <w:t>站内设备运维管理</w:t>
                  </w:r>
                </w:p>
              </w:tc>
              <w:tc>
                <w:tcPr>
                  <w:tcW w:w="572" w:type="pct"/>
                  <w:tcBorders>
                    <w:tl2br w:val="nil"/>
                    <w:tr2bl w:val="nil"/>
                  </w:tcBorders>
                  <w:vAlign w:val="center"/>
                </w:tcPr>
                <w:p w14:paraId="21CE80BB">
                  <w:pPr>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z w:val="21"/>
                      <w:szCs w:val="21"/>
                    </w:rPr>
                    <w:t>5</w:t>
                  </w:r>
                </w:p>
              </w:tc>
              <w:tc>
                <w:tcPr>
                  <w:tcW w:w="1333" w:type="pct"/>
                  <w:tcBorders>
                    <w:tl2br w:val="nil"/>
                    <w:tr2bl w:val="nil"/>
                  </w:tcBorders>
                  <w:vAlign w:val="center"/>
                </w:tcPr>
                <w:p w14:paraId="051F9B50">
                  <w:pPr>
                    <w:pStyle w:val="22"/>
                    <w:keepNext w:val="0"/>
                    <w:keepLines w:val="0"/>
                    <w:pageBreakBefore w:val="0"/>
                    <w:widowControl/>
                    <w:kinsoku/>
                    <w:wordWrap/>
                    <w:overflowPunct/>
                    <w:topLinePunct/>
                    <w:autoSpaceDE w:val="0"/>
                    <w:autoSpaceDN w:val="0"/>
                    <w:bidi w:val="0"/>
                    <w:adjustRightInd w:val="0"/>
                    <w:snapToGrid w:val="0"/>
                    <w:spacing w:line="240" w:lineRule="auto"/>
                    <w:ind w:left="0" w:leftChars="0" w:right="0" w:rightChars="0" w:firstLine="0" w:firstLineChars="0"/>
                    <w:jc w:val="center"/>
                    <w:textAlignment w:val="baseline"/>
                    <w:rPr>
                      <w:rFonts w:ascii="Times New Roman" w:hAnsi="Times New Roman" w:eastAsia="Times New Roman" w:cs="Times New Roman"/>
                      <w:sz w:val="21"/>
                      <w:szCs w:val="21"/>
                    </w:rPr>
                  </w:pPr>
                  <w:r>
                    <w:rPr>
                      <w:spacing w:val="8"/>
                      <w:sz w:val="21"/>
                      <w:szCs w:val="21"/>
                    </w:rPr>
                    <w:t>站内设备运维管理</w:t>
                  </w:r>
                </w:p>
              </w:tc>
              <w:tc>
                <w:tcPr>
                  <w:tcW w:w="541" w:type="pct"/>
                  <w:tcBorders>
                    <w:tl2br w:val="nil"/>
                    <w:tr2bl w:val="nil"/>
                  </w:tcBorders>
                  <w:vAlign w:val="center"/>
                </w:tcPr>
                <w:p w14:paraId="4F24978E">
                  <w:pPr>
                    <w:keepNext w:val="0"/>
                    <w:keepLines w:val="0"/>
                    <w:pageBreakBefore w:val="0"/>
                    <w:widowControl/>
                    <w:kinsoku/>
                    <w:wordWrap/>
                    <w:overflowPunct/>
                    <w:topLinePunct/>
                    <w:autoSpaceDE w:val="0"/>
                    <w:autoSpaceDN w:val="0"/>
                    <w:bidi w:val="0"/>
                    <w:adjustRightInd w:val="0"/>
                    <w:snapToGrid w:val="0"/>
                    <w:spacing w:line="240" w:lineRule="auto"/>
                    <w:ind w:left="0" w:leftChars="0" w:right="0" w:rightChars="0" w:firstLine="0" w:firstLineChars="0"/>
                    <w:jc w:val="center"/>
                    <w:textAlignment w:val="baseline"/>
                    <w:rPr>
                      <w:rFonts w:ascii="Times New Roman" w:hAnsi="Times New Roman" w:eastAsia="Times New Roman" w:cs="Times New Roman"/>
                      <w:color w:val="000000" w:themeColor="text1"/>
                      <w:sz w:val="21"/>
                      <w:szCs w:val="21"/>
                      <w14:textFill>
                        <w14:solidFill>
                          <w14:schemeClr w14:val="tx1"/>
                        </w14:solidFill>
                      </w14:textFill>
                    </w:rPr>
                  </w:pPr>
                  <w:r>
                    <w:rPr>
                      <w:rFonts w:ascii="Times New Roman" w:hAnsi="Times New Roman" w:eastAsia="Times New Roman" w:cs="Times New Roman"/>
                      <w:color w:val="000000" w:themeColor="text1"/>
                      <w:sz w:val="21"/>
                      <w:szCs w:val="21"/>
                      <w14:textFill>
                        <w14:solidFill>
                          <w14:schemeClr w14:val="tx1"/>
                        </w14:solidFill>
                      </w14:textFill>
                    </w:rPr>
                    <w:t>5</w:t>
                  </w:r>
                </w:p>
              </w:tc>
            </w:tr>
            <w:tr w14:paraId="0E2D4CC1">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679" w:type="pct"/>
                  <w:gridSpan w:val="2"/>
                  <w:tcBorders>
                    <w:tl2br w:val="nil"/>
                    <w:tr2bl w:val="nil"/>
                  </w:tcBorders>
                  <w:vAlign w:val="center"/>
                </w:tcPr>
                <w:p w14:paraId="55E392C2">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sz w:val="21"/>
                      <w:szCs w:val="21"/>
                    </w:rPr>
                  </w:pPr>
                  <w:r>
                    <w:rPr>
                      <w:spacing w:val="8"/>
                      <w:sz w:val="21"/>
                      <w:szCs w:val="21"/>
                    </w:rPr>
                    <w:t>环境管理费用</w:t>
                  </w:r>
                </w:p>
              </w:tc>
              <w:tc>
                <w:tcPr>
                  <w:tcW w:w="1872" w:type="pct"/>
                  <w:tcBorders>
                    <w:tl2br w:val="nil"/>
                    <w:tr2bl w:val="nil"/>
                  </w:tcBorders>
                  <w:vAlign w:val="center"/>
                </w:tcPr>
                <w:p w14:paraId="10281801">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sz w:val="21"/>
                      <w:szCs w:val="21"/>
                    </w:rPr>
                  </w:pPr>
                  <w:r>
                    <w:rPr>
                      <w:spacing w:val="9"/>
                      <w:sz w:val="21"/>
                      <w:szCs w:val="21"/>
                    </w:rPr>
                    <w:t>环境影响评价及竣工环保验收、监测等费用</w:t>
                  </w:r>
                </w:p>
              </w:tc>
              <w:tc>
                <w:tcPr>
                  <w:tcW w:w="572" w:type="pct"/>
                  <w:tcBorders>
                    <w:tl2br w:val="nil"/>
                    <w:tr2bl w:val="nil"/>
                  </w:tcBorders>
                  <w:vAlign w:val="center"/>
                </w:tcPr>
                <w:p w14:paraId="32EB9C41">
                  <w:pPr>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pacing w:val="-8"/>
                      <w:sz w:val="21"/>
                      <w:szCs w:val="21"/>
                    </w:rPr>
                    <w:t>10</w:t>
                  </w:r>
                </w:p>
              </w:tc>
              <w:tc>
                <w:tcPr>
                  <w:tcW w:w="1333" w:type="pct"/>
                  <w:tcBorders>
                    <w:tl2br w:val="nil"/>
                    <w:tr2bl w:val="nil"/>
                  </w:tcBorders>
                  <w:vAlign w:val="center"/>
                </w:tcPr>
                <w:p w14:paraId="3AB6B0C2">
                  <w:pPr>
                    <w:pStyle w:val="22"/>
                    <w:keepNext w:val="0"/>
                    <w:keepLines w:val="0"/>
                    <w:pageBreakBefore w:val="0"/>
                    <w:widowControl/>
                    <w:kinsoku/>
                    <w:wordWrap/>
                    <w:overflowPunct/>
                    <w:topLinePunct/>
                    <w:autoSpaceDE w:val="0"/>
                    <w:autoSpaceDN w:val="0"/>
                    <w:bidi w:val="0"/>
                    <w:adjustRightInd w:val="0"/>
                    <w:snapToGrid w:val="0"/>
                    <w:spacing w:line="240" w:lineRule="auto"/>
                    <w:ind w:left="0" w:leftChars="0" w:right="0" w:rightChars="0" w:firstLine="0" w:firstLineChars="0"/>
                    <w:jc w:val="center"/>
                    <w:textAlignment w:val="baseline"/>
                    <w:rPr>
                      <w:rFonts w:ascii="Times New Roman" w:hAnsi="Times New Roman" w:eastAsia="Times New Roman" w:cs="Times New Roman"/>
                      <w:spacing w:val="-8"/>
                      <w:sz w:val="21"/>
                      <w:szCs w:val="21"/>
                    </w:rPr>
                  </w:pPr>
                  <w:r>
                    <w:rPr>
                      <w:spacing w:val="9"/>
                      <w:sz w:val="21"/>
                      <w:szCs w:val="21"/>
                    </w:rPr>
                    <w:t>环境影响评价及竣工环保验收、监测等费用</w:t>
                  </w:r>
                </w:p>
              </w:tc>
              <w:tc>
                <w:tcPr>
                  <w:tcW w:w="541" w:type="pct"/>
                  <w:tcBorders>
                    <w:tl2br w:val="nil"/>
                    <w:tr2bl w:val="nil"/>
                  </w:tcBorders>
                  <w:vAlign w:val="center"/>
                </w:tcPr>
                <w:p w14:paraId="5139AAB7">
                  <w:pPr>
                    <w:keepNext w:val="0"/>
                    <w:keepLines w:val="0"/>
                    <w:pageBreakBefore w:val="0"/>
                    <w:widowControl/>
                    <w:kinsoku/>
                    <w:wordWrap/>
                    <w:overflowPunct/>
                    <w:topLinePunct/>
                    <w:autoSpaceDE w:val="0"/>
                    <w:autoSpaceDN w:val="0"/>
                    <w:bidi w:val="0"/>
                    <w:adjustRightInd w:val="0"/>
                    <w:snapToGrid w:val="0"/>
                    <w:spacing w:line="240" w:lineRule="auto"/>
                    <w:ind w:left="0" w:leftChars="0" w:right="0" w:rightChars="0" w:firstLine="0" w:firstLineChars="0"/>
                    <w:jc w:val="center"/>
                    <w:textAlignment w:val="baseline"/>
                    <w:rPr>
                      <w:rFonts w:ascii="Times New Roman" w:hAnsi="Times New Roman" w:eastAsia="Times New Roman" w:cs="Times New Roman"/>
                      <w:color w:val="000000" w:themeColor="text1"/>
                      <w:spacing w:val="-8"/>
                      <w:sz w:val="21"/>
                      <w:szCs w:val="21"/>
                      <w14:textFill>
                        <w14:solidFill>
                          <w14:schemeClr w14:val="tx1"/>
                        </w14:solidFill>
                      </w14:textFill>
                    </w:rPr>
                  </w:pPr>
                  <w:r>
                    <w:rPr>
                      <w:rFonts w:ascii="Times New Roman" w:hAnsi="Times New Roman" w:eastAsia="Times New Roman" w:cs="Times New Roman"/>
                      <w:color w:val="000000" w:themeColor="text1"/>
                      <w:spacing w:val="-8"/>
                      <w:sz w:val="21"/>
                      <w:szCs w:val="21"/>
                      <w14:textFill>
                        <w14:solidFill>
                          <w14:schemeClr w14:val="tx1"/>
                        </w14:solidFill>
                      </w14:textFill>
                    </w:rPr>
                    <w:t>10</w:t>
                  </w:r>
                </w:p>
              </w:tc>
            </w:tr>
            <w:tr w14:paraId="59992500">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298" w:hRule="atLeast"/>
              </w:trPr>
              <w:tc>
                <w:tcPr>
                  <w:tcW w:w="2552" w:type="pct"/>
                  <w:gridSpan w:val="3"/>
                  <w:tcBorders>
                    <w:tl2br w:val="nil"/>
                    <w:tr2bl w:val="nil"/>
                  </w:tcBorders>
                  <w:vAlign w:val="center"/>
                </w:tcPr>
                <w:p w14:paraId="56D0837F">
                  <w:pPr>
                    <w:pStyle w:val="22"/>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sz w:val="21"/>
                      <w:szCs w:val="21"/>
                    </w:rPr>
                  </w:pPr>
                  <w:r>
                    <w:rPr>
                      <w:spacing w:val="4"/>
                      <w:sz w:val="21"/>
                      <w:szCs w:val="21"/>
                    </w:rPr>
                    <w:t>合计</w:t>
                  </w:r>
                </w:p>
              </w:tc>
              <w:tc>
                <w:tcPr>
                  <w:tcW w:w="572" w:type="pct"/>
                  <w:tcBorders>
                    <w:tl2br w:val="nil"/>
                    <w:tr2bl w:val="nil"/>
                  </w:tcBorders>
                  <w:vAlign w:val="center"/>
                </w:tcPr>
                <w:p w14:paraId="1DE9DAF8">
                  <w:pPr>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z w:val="21"/>
                      <w:szCs w:val="21"/>
                    </w:rPr>
                    <w:t>64</w:t>
                  </w:r>
                </w:p>
              </w:tc>
              <w:tc>
                <w:tcPr>
                  <w:tcW w:w="1333" w:type="pct"/>
                  <w:tcBorders>
                    <w:tl2br w:val="nil"/>
                    <w:tr2bl w:val="nil"/>
                  </w:tcBorders>
                  <w:vAlign w:val="center"/>
                </w:tcPr>
                <w:p w14:paraId="72689C7F">
                  <w:pPr>
                    <w:keepNext w:val="0"/>
                    <w:keepLines w:val="0"/>
                    <w:pageBreakBefore w:val="0"/>
                    <w:widowControl/>
                    <w:kinsoku/>
                    <w:wordWrap/>
                    <w:overflowPunct/>
                    <w:topLinePunct/>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p>
              </w:tc>
              <w:tc>
                <w:tcPr>
                  <w:tcW w:w="541" w:type="pct"/>
                  <w:tcBorders>
                    <w:tl2br w:val="nil"/>
                    <w:tr2bl w:val="nil"/>
                  </w:tcBorders>
                  <w:vAlign w:val="center"/>
                </w:tcPr>
                <w:p w14:paraId="1A1D006C">
                  <w:pPr>
                    <w:keepNext w:val="0"/>
                    <w:keepLines w:val="0"/>
                    <w:pageBreakBefore w:val="0"/>
                    <w:widowControl/>
                    <w:kinsoku/>
                    <w:wordWrap/>
                    <w:overflowPunct/>
                    <w:topLinePunct/>
                    <w:autoSpaceDE w:val="0"/>
                    <w:autoSpaceDN w:val="0"/>
                    <w:bidi w:val="0"/>
                    <w:adjustRightInd w:val="0"/>
                    <w:snapToGrid w:val="0"/>
                    <w:spacing w:line="240" w:lineRule="auto"/>
                    <w:ind w:left="0" w:leftChars="0" w:right="0" w:rightChars="0" w:firstLine="0" w:firstLineChars="0"/>
                    <w:jc w:val="center"/>
                    <w:textAlignment w:val="baseline"/>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ascii="Times New Roman" w:hAnsi="Times New Roman" w:eastAsia="Times New Roman" w:cs="Times New Roman"/>
                      <w:color w:val="000000" w:themeColor="text1"/>
                      <w:sz w:val="21"/>
                      <w:szCs w:val="21"/>
                      <w14:textFill>
                        <w14:solidFill>
                          <w14:schemeClr w14:val="tx1"/>
                        </w14:solidFill>
                      </w14:textFill>
                    </w:rPr>
                    <w:t>6</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p>
              </w:tc>
            </w:tr>
          </w:tbl>
          <w:p w14:paraId="3CB01F83">
            <w:pPr>
              <w:widowControl/>
              <w:kinsoku/>
              <w:autoSpaceDE/>
              <w:autoSpaceDN/>
              <w:adjustRightInd/>
              <w:snapToGrid/>
              <w:spacing w:line="240" w:lineRule="auto"/>
              <w:jc w:val="both"/>
              <w:textAlignment w:val="auto"/>
              <w:rPr>
                <w:rFonts w:hint="default" w:ascii="Times New Roman" w:hAnsi="Times New Roman" w:eastAsia="宋体" w:cs="Times New Roman"/>
                <w:snapToGrid/>
                <w:color w:val="000000"/>
                <w:kern w:val="0"/>
                <w:sz w:val="24"/>
                <w:szCs w:val="24"/>
                <w:lang w:val="en-US" w:eastAsia="zh-CN" w:bidi="ar-SA"/>
              </w:rPr>
            </w:pPr>
          </w:p>
        </w:tc>
      </w:tr>
      <w:tr w14:paraId="43FB1A9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308" w:hRule="atLeast"/>
          <w:jc w:val="center"/>
        </w:trPr>
        <w:tc>
          <w:tcPr>
            <w:tcW w:w="5000" w:type="pct"/>
            <w:tcBorders>
              <w:tl2br w:val="nil"/>
              <w:tr2bl w:val="nil"/>
            </w:tcBorders>
            <w:vAlign w:val="center"/>
          </w:tcPr>
          <w:p w14:paraId="5D8A430F">
            <w:pPr>
              <w:keepNext w:val="0"/>
              <w:keepLines w:val="0"/>
              <w:pageBreakBefore w:val="0"/>
              <w:widowControl/>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建设项目变动情况及变动原因</w:t>
            </w:r>
          </w:p>
          <w:p w14:paraId="7579C53E">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color w:val="000000" w:themeColor="text1"/>
                <w:spacing w:val="1"/>
                <w:sz w:val="24"/>
                <w:szCs w:val="24"/>
                <w14:textFill>
                  <w14:solidFill>
                    <w14:schemeClr w14:val="tx1"/>
                  </w14:solidFill>
                </w14:textFill>
              </w:rPr>
            </w:pPr>
            <w:r>
              <w:rPr>
                <w:rFonts w:hint="eastAsia" w:ascii="Times New Roman" w:hAnsi="Times New Roman" w:eastAsia="宋体" w:cs="Times New Roman"/>
                <w:snapToGrid/>
                <w:color w:val="auto"/>
                <w:kern w:val="0"/>
                <w:sz w:val="24"/>
                <w:szCs w:val="24"/>
                <w:lang w:val="en-US" w:eastAsia="zh-CN" w:bidi="ar-SA"/>
              </w:rPr>
              <w:t>变动情况：根据实际情况进行调整，综合楼、配电室布局位置及面积</w:t>
            </w:r>
            <w:r>
              <w:rPr>
                <w:rFonts w:hint="eastAsia"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发生变化，</w:t>
            </w:r>
            <w:r>
              <w:rPr>
                <w:color w:val="000000" w:themeColor="text1"/>
                <w:spacing w:val="6"/>
                <w:sz w:val="24"/>
                <w:szCs w:val="24"/>
                <w14:textFill>
                  <w14:solidFill>
                    <w14:schemeClr w14:val="tx1"/>
                  </w14:solidFill>
                </w14:textFill>
              </w:rPr>
              <w:t>综合辅助</w:t>
            </w:r>
            <w:r>
              <w:rPr>
                <w:color w:val="000000" w:themeColor="text1"/>
                <w:spacing w:val="3"/>
                <w:sz w:val="24"/>
                <w:szCs w:val="24"/>
                <w14:textFill>
                  <w14:solidFill>
                    <w14:schemeClr w14:val="tx1"/>
                  </w14:solidFill>
                </w14:textFill>
              </w:rPr>
              <w:t>用房</w:t>
            </w:r>
            <w:r>
              <w:rPr>
                <w:rFonts w:hint="eastAsia" w:eastAsia="宋体"/>
                <w:color w:val="000000" w:themeColor="text1"/>
                <w:spacing w:val="3"/>
                <w:sz w:val="24"/>
                <w:szCs w:val="24"/>
                <w:lang w:val="en-US" w:eastAsia="zh-CN"/>
                <w14:textFill>
                  <w14:solidFill>
                    <w14:schemeClr w14:val="tx1"/>
                  </w14:solidFill>
                </w14:textFill>
              </w:rPr>
              <w:t>取消建设，废水治理由</w:t>
            </w:r>
            <w:r>
              <w:rPr>
                <w:color w:val="000000" w:themeColor="text1"/>
                <w:spacing w:val="9"/>
                <w:sz w:val="24"/>
                <w:szCs w:val="24"/>
                <w14:textFill>
                  <w14:solidFill>
                    <w14:schemeClr w14:val="tx1"/>
                  </w14:solidFill>
                </w14:textFill>
              </w:rPr>
              <w:t>地埋式一体化污水处理设施</w:t>
            </w:r>
            <w:r>
              <w:rPr>
                <w:color w:val="000000" w:themeColor="text1"/>
                <w:spacing w:val="8"/>
                <w:sz w:val="24"/>
                <w:szCs w:val="24"/>
                <w14:textFill>
                  <w14:solidFill>
                    <w14:schemeClr w14:val="tx1"/>
                  </w14:solidFill>
                </w14:textFill>
              </w:rPr>
              <w:t>（接触氧化</w:t>
            </w:r>
            <w:r>
              <w:rPr>
                <w:rFonts w:ascii="Times New Roman" w:hAnsi="Times New Roman" w:eastAsia="Times New Roman" w:cs="Times New Roman"/>
                <w:color w:val="000000" w:themeColor="text1"/>
                <w:spacing w:val="8"/>
                <w:sz w:val="24"/>
                <w:szCs w:val="24"/>
                <w14:textFill>
                  <w14:solidFill>
                    <w14:schemeClr w14:val="tx1"/>
                  </w14:solidFill>
                </w14:textFill>
              </w:rPr>
              <w:t>+</w:t>
            </w:r>
            <w:r>
              <w:rPr>
                <w:color w:val="000000" w:themeColor="text1"/>
                <w:spacing w:val="8"/>
                <w:sz w:val="24"/>
                <w:szCs w:val="24"/>
                <w14:textFill>
                  <w14:solidFill>
                    <w14:schemeClr w14:val="tx1"/>
                  </w14:solidFill>
                </w14:textFill>
              </w:rPr>
              <w:t>沉淀）</w:t>
            </w:r>
            <w:r>
              <w:rPr>
                <w:rFonts w:hint="eastAsia" w:eastAsia="宋体"/>
                <w:color w:val="000000" w:themeColor="text1"/>
                <w:spacing w:val="8"/>
                <w:sz w:val="24"/>
                <w:szCs w:val="24"/>
                <w:lang w:val="en-US" w:eastAsia="zh-CN"/>
                <w14:textFill>
                  <w14:solidFill>
                    <w14:schemeClr w14:val="tx1"/>
                  </w14:solidFill>
                </w14:textFill>
              </w:rPr>
              <w:t>变更为化粪池处理</w:t>
            </w:r>
            <w:r>
              <w:rPr>
                <w:color w:val="000000" w:themeColor="text1"/>
                <w:spacing w:val="1"/>
                <w:sz w:val="24"/>
                <w:szCs w:val="24"/>
                <w14:textFill>
                  <w14:solidFill>
                    <w14:schemeClr w14:val="tx1"/>
                  </w14:solidFill>
                </w14:textFill>
              </w:rPr>
              <w:t>。</w:t>
            </w:r>
          </w:p>
          <w:p w14:paraId="72D1507A">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变动原因：因施工工艺及施工方案发生变动，导致平面布局发生改变，因生活污水产生量较少，配套化粪池处理后定期清掏，满足要求，对照《关于印发《输变电建设项目重大变动清单（试行）》的通知》（环办辐射〔2016〕84号），本项目不属于重大变动。</w:t>
            </w:r>
          </w:p>
          <w:p w14:paraId="114B2B5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bCs/>
                <w:snapToGrid/>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b/>
                <w:bCs/>
                <w:snapToGrid/>
                <w:color w:val="000000" w:themeColor="text1"/>
                <w:kern w:val="0"/>
                <w:sz w:val="24"/>
                <w:szCs w:val="24"/>
                <w:lang w:val="en-US" w:eastAsia="zh-CN" w:bidi="ar-SA"/>
                <w14:textFill>
                  <w14:solidFill>
                    <w14:schemeClr w14:val="tx1"/>
                  </w14:solidFill>
                </w14:textFill>
              </w:rPr>
              <w:t>表4.3工程变更情况一览表</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4"/>
              <w:gridCol w:w="2641"/>
              <w:gridCol w:w="2428"/>
              <w:gridCol w:w="1140"/>
              <w:gridCol w:w="1394"/>
            </w:tblGrid>
            <w:tr w14:paraId="1CF7B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dxa"/>
                  <w:vAlign w:val="center"/>
                </w:tcPr>
                <w:p w14:paraId="4DA8F26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b/>
                      <w:bCs/>
                      <w:snapToGrid/>
                      <w:color w:val="000000" w:themeColor="text1"/>
                      <w:kern w:val="0"/>
                      <w:sz w:val="21"/>
                      <w:szCs w:val="21"/>
                      <w:vertAlign w:val="baseline"/>
                      <w:lang w:val="en-US" w:eastAsia="zh-CN" w:bidi="ar-SA"/>
                      <w14:textFill>
                        <w14:solidFill>
                          <w14:schemeClr w14:val="tx1"/>
                        </w14:solidFill>
                      </w14:textFill>
                    </w:rPr>
                    <w:t>序号</w:t>
                  </w:r>
                </w:p>
              </w:tc>
              <w:tc>
                <w:tcPr>
                  <w:tcW w:w="2641" w:type="dxa"/>
                  <w:vAlign w:val="center"/>
                </w:tcPr>
                <w:p w14:paraId="2EFF411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b/>
                      <w:bCs/>
                      <w:snapToGrid/>
                      <w:color w:val="000000" w:themeColor="text1"/>
                      <w:kern w:val="0"/>
                      <w:sz w:val="21"/>
                      <w:szCs w:val="21"/>
                      <w:vertAlign w:val="baseline"/>
                      <w:lang w:val="en-US" w:eastAsia="zh-CN" w:bidi="ar-SA"/>
                      <w14:textFill>
                        <w14:solidFill>
                          <w14:schemeClr w14:val="tx1"/>
                        </w14:solidFill>
                      </w14:textFill>
                    </w:rPr>
                    <w:t>输变电建设项目重大变动清单</w:t>
                  </w:r>
                </w:p>
              </w:tc>
              <w:tc>
                <w:tcPr>
                  <w:tcW w:w="2428" w:type="dxa"/>
                  <w:vAlign w:val="center"/>
                </w:tcPr>
                <w:p w14:paraId="36931D1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b/>
                      <w:bCs/>
                      <w:snapToGrid/>
                      <w:color w:val="000000" w:themeColor="text1"/>
                      <w:kern w:val="0"/>
                      <w:sz w:val="21"/>
                      <w:szCs w:val="21"/>
                      <w:vertAlign w:val="baseline"/>
                      <w:lang w:val="en-US" w:eastAsia="zh-CN" w:bidi="ar-SA"/>
                      <w14:textFill>
                        <w14:solidFill>
                          <w14:schemeClr w14:val="tx1"/>
                        </w14:solidFill>
                      </w14:textFill>
                    </w:rPr>
                    <w:t>本项目情况</w:t>
                  </w:r>
                </w:p>
              </w:tc>
              <w:tc>
                <w:tcPr>
                  <w:tcW w:w="1140" w:type="dxa"/>
                  <w:vAlign w:val="center"/>
                </w:tcPr>
                <w:p w14:paraId="7F61D4D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b/>
                      <w:bCs/>
                      <w:snapToGrid/>
                      <w:color w:val="000000" w:themeColor="text1"/>
                      <w:kern w:val="0"/>
                      <w:sz w:val="21"/>
                      <w:szCs w:val="21"/>
                      <w:vertAlign w:val="baseline"/>
                      <w:lang w:val="en-US" w:eastAsia="zh-CN" w:bidi="ar-SA"/>
                      <w14:textFill>
                        <w14:solidFill>
                          <w14:schemeClr w14:val="tx1"/>
                        </w14:solidFill>
                      </w14:textFill>
                    </w:rPr>
                    <w:t>是否存在该行为</w:t>
                  </w:r>
                </w:p>
              </w:tc>
              <w:tc>
                <w:tcPr>
                  <w:tcW w:w="1394" w:type="dxa"/>
                  <w:vAlign w:val="center"/>
                </w:tcPr>
                <w:p w14:paraId="59575EF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b/>
                      <w:bCs/>
                      <w:snapToGrid/>
                      <w:color w:val="000000" w:themeColor="text1"/>
                      <w:kern w:val="0"/>
                      <w:sz w:val="21"/>
                      <w:szCs w:val="21"/>
                      <w:vertAlign w:val="baseline"/>
                      <w:lang w:val="en-US" w:eastAsia="zh-CN" w:bidi="ar-SA"/>
                      <w14:textFill>
                        <w14:solidFill>
                          <w14:schemeClr w14:val="tx1"/>
                        </w14:solidFill>
                      </w14:textFill>
                    </w:rPr>
                    <w:t>是否导致不利环境影响显著加重</w:t>
                  </w:r>
                </w:p>
              </w:tc>
            </w:tr>
            <w:tr w14:paraId="31A04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dxa"/>
                  <w:vAlign w:val="center"/>
                </w:tcPr>
                <w:p w14:paraId="460A16D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1</w:t>
                  </w:r>
                </w:p>
              </w:tc>
              <w:tc>
                <w:tcPr>
                  <w:tcW w:w="2641" w:type="dxa"/>
                  <w:vAlign w:val="center"/>
                </w:tcPr>
                <w:p w14:paraId="688FAD0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电压等级升高</w:t>
                  </w:r>
                </w:p>
              </w:tc>
              <w:tc>
                <w:tcPr>
                  <w:tcW w:w="2428" w:type="dxa"/>
                  <w:vAlign w:val="center"/>
                </w:tcPr>
                <w:p w14:paraId="085C879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电压等级未发生变化</w:t>
                  </w:r>
                </w:p>
              </w:tc>
              <w:tc>
                <w:tcPr>
                  <w:tcW w:w="1140" w:type="dxa"/>
                  <w:vAlign w:val="center"/>
                </w:tcPr>
                <w:p w14:paraId="32C9D83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否</w:t>
                  </w:r>
                </w:p>
              </w:tc>
              <w:tc>
                <w:tcPr>
                  <w:tcW w:w="1394" w:type="dxa"/>
                  <w:vAlign w:val="center"/>
                </w:tcPr>
                <w:p w14:paraId="279C5C3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否</w:t>
                  </w:r>
                </w:p>
              </w:tc>
            </w:tr>
            <w:tr w14:paraId="1CCDC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dxa"/>
                  <w:vAlign w:val="center"/>
                </w:tcPr>
                <w:p w14:paraId="5B3C2E8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2</w:t>
                  </w:r>
                </w:p>
              </w:tc>
              <w:tc>
                <w:tcPr>
                  <w:tcW w:w="2641" w:type="dxa"/>
                  <w:vAlign w:val="center"/>
                </w:tcPr>
                <w:p w14:paraId="5B3B29D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主变压器、换流变压器、高压电抗器等主要设备总数量增加超过原数量的30%</w:t>
                  </w:r>
                </w:p>
              </w:tc>
              <w:tc>
                <w:tcPr>
                  <w:tcW w:w="2428" w:type="dxa"/>
                  <w:vAlign w:val="center"/>
                </w:tcPr>
                <w:p w14:paraId="27B2184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相关设备未发生变化</w:t>
                  </w:r>
                </w:p>
              </w:tc>
              <w:tc>
                <w:tcPr>
                  <w:tcW w:w="1140" w:type="dxa"/>
                  <w:vAlign w:val="center"/>
                </w:tcPr>
                <w:p w14:paraId="407CC21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否</w:t>
                  </w:r>
                </w:p>
              </w:tc>
              <w:tc>
                <w:tcPr>
                  <w:tcW w:w="1394" w:type="dxa"/>
                  <w:vAlign w:val="center"/>
                </w:tcPr>
                <w:p w14:paraId="146F47E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否</w:t>
                  </w:r>
                </w:p>
              </w:tc>
            </w:tr>
            <w:tr w14:paraId="2B84E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dxa"/>
                  <w:vAlign w:val="center"/>
                </w:tcPr>
                <w:p w14:paraId="07FE81C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3</w:t>
                  </w:r>
                </w:p>
              </w:tc>
              <w:tc>
                <w:tcPr>
                  <w:tcW w:w="2641" w:type="dxa"/>
                  <w:vAlign w:val="center"/>
                </w:tcPr>
                <w:p w14:paraId="6C2B5F5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输电线路路径长度增加超过原路径长度的30%</w:t>
                  </w:r>
                </w:p>
              </w:tc>
              <w:tc>
                <w:tcPr>
                  <w:tcW w:w="2428" w:type="dxa"/>
                  <w:vAlign w:val="center"/>
                </w:tcPr>
                <w:p w14:paraId="0F5A3F0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本项目为仅针对升压站内容，不涉及输电线路路径</w:t>
                  </w:r>
                </w:p>
              </w:tc>
              <w:tc>
                <w:tcPr>
                  <w:tcW w:w="1140" w:type="dxa"/>
                  <w:vAlign w:val="center"/>
                </w:tcPr>
                <w:p w14:paraId="4491A02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否</w:t>
                  </w:r>
                </w:p>
              </w:tc>
              <w:tc>
                <w:tcPr>
                  <w:tcW w:w="1394" w:type="dxa"/>
                  <w:vAlign w:val="center"/>
                </w:tcPr>
                <w:p w14:paraId="0142E36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否</w:t>
                  </w:r>
                </w:p>
              </w:tc>
            </w:tr>
            <w:tr w14:paraId="3C58D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84" w:type="dxa"/>
                  <w:vAlign w:val="center"/>
                </w:tcPr>
                <w:p w14:paraId="06AA43C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4</w:t>
                  </w:r>
                </w:p>
              </w:tc>
              <w:tc>
                <w:tcPr>
                  <w:tcW w:w="2641" w:type="dxa"/>
                  <w:vAlign w:val="center"/>
                </w:tcPr>
                <w:p w14:paraId="0844FAC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变电站、换流站、开关站、串补站站址位移超过500米</w:t>
                  </w:r>
                </w:p>
              </w:tc>
              <w:tc>
                <w:tcPr>
                  <w:tcW w:w="2428" w:type="dxa"/>
                  <w:vAlign w:val="center"/>
                </w:tcPr>
                <w:p w14:paraId="75EF912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站址位置不变，仅布局发生改变</w:t>
                  </w:r>
                </w:p>
              </w:tc>
              <w:tc>
                <w:tcPr>
                  <w:tcW w:w="1140" w:type="dxa"/>
                  <w:vAlign w:val="center"/>
                </w:tcPr>
                <w:p w14:paraId="4EC5193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否</w:t>
                  </w:r>
                </w:p>
              </w:tc>
              <w:tc>
                <w:tcPr>
                  <w:tcW w:w="1394" w:type="dxa"/>
                  <w:vAlign w:val="center"/>
                </w:tcPr>
                <w:p w14:paraId="1D5B5FB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否</w:t>
                  </w:r>
                </w:p>
              </w:tc>
            </w:tr>
            <w:tr w14:paraId="09AE8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dxa"/>
                  <w:vAlign w:val="center"/>
                </w:tcPr>
                <w:p w14:paraId="3CC81B1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5</w:t>
                  </w:r>
                </w:p>
              </w:tc>
              <w:tc>
                <w:tcPr>
                  <w:tcW w:w="2641" w:type="dxa"/>
                  <w:vAlign w:val="center"/>
                </w:tcPr>
                <w:p w14:paraId="32BE784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输电线路横向位移超出500米的累计长度超过原路径长度的30%</w:t>
                  </w:r>
                </w:p>
              </w:tc>
              <w:tc>
                <w:tcPr>
                  <w:tcW w:w="2428" w:type="dxa"/>
                  <w:vAlign w:val="center"/>
                </w:tcPr>
                <w:p w14:paraId="2E50E29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不涉及</w:t>
                  </w:r>
                </w:p>
              </w:tc>
              <w:tc>
                <w:tcPr>
                  <w:tcW w:w="1140" w:type="dxa"/>
                  <w:vAlign w:val="center"/>
                </w:tcPr>
                <w:p w14:paraId="4499C80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否</w:t>
                  </w:r>
                </w:p>
              </w:tc>
              <w:tc>
                <w:tcPr>
                  <w:tcW w:w="1394" w:type="dxa"/>
                  <w:vAlign w:val="center"/>
                </w:tcPr>
                <w:p w14:paraId="0C3EAFC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否</w:t>
                  </w:r>
                </w:p>
              </w:tc>
            </w:tr>
            <w:tr w14:paraId="07293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dxa"/>
                  <w:vAlign w:val="center"/>
                </w:tcPr>
                <w:p w14:paraId="3D9CE17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6</w:t>
                  </w:r>
                </w:p>
              </w:tc>
              <w:tc>
                <w:tcPr>
                  <w:tcW w:w="2641" w:type="dxa"/>
                  <w:vAlign w:val="center"/>
                </w:tcPr>
                <w:p w14:paraId="06E3E70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因输变电工程路径、站址等发生变化，导致进入新的自然保护区、风景名胜区、饮用水水源保护区等生态敏感区</w:t>
                  </w:r>
                </w:p>
              </w:tc>
              <w:tc>
                <w:tcPr>
                  <w:tcW w:w="2428" w:type="dxa"/>
                  <w:vAlign w:val="center"/>
                </w:tcPr>
                <w:p w14:paraId="1A25198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不涉及</w:t>
                  </w:r>
                </w:p>
              </w:tc>
              <w:tc>
                <w:tcPr>
                  <w:tcW w:w="1140" w:type="dxa"/>
                  <w:vAlign w:val="center"/>
                </w:tcPr>
                <w:p w14:paraId="31910AC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否</w:t>
                  </w:r>
                </w:p>
              </w:tc>
              <w:tc>
                <w:tcPr>
                  <w:tcW w:w="1394" w:type="dxa"/>
                  <w:vAlign w:val="center"/>
                </w:tcPr>
                <w:p w14:paraId="4EFB006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否</w:t>
                  </w:r>
                </w:p>
              </w:tc>
            </w:tr>
            <w:tr w14:paraId="20999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dxa"/>
                  <w:vAlign w:val="center"/>
                </w:tcPr>
                <w:p w14:paraId="4A07B83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7</w:t>
                  </w:r>
                </w:p>
              </w:tc>
              <w:tc>
                <w:tcPr>
                  <w:tcW w:w="2641" w:type="dxa"/>
                  <w:vAlign w:val="center"/>
                </w:tcPr>
                <w:p w14:paraId="3455C19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因输变电工程路径、站址等发生变化，导致新增的电磁和声环境敏感目标超过原数量的30%</w:t>
                  </w:r>
                </w:p>
              </w:tc>
              <w:tc>
                <w:tcPr>
                  <w:tcW w:w="2428" w:type="dxa"/>
                  <w:vAlign w:val="center"/>
                </w:tcPr>
                <w:p w14:paraId="7C1892C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不涉及</w:t>
                  </w:r>
                </w:p>
              </w:tc>
              <w:tc>
                <w:tcPr>
                  <w:tcW w:w="1140" w:type="dxa"/>
                  <w:vAlign w:val="center"/>
                </w:tcPr>
                <w:p w14:paraId="42646B5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否</w:t>
                  </w:r>
                </w:p>
              </w:tc>
              <w:tc>
                <w:tcPr>
                  <w:tcW w:w="1394" w:type="dxa"/>
                  <w:vAlign w:val="center"/>
                </w:tcPr>
                <w:p w14:paraId="27C45F2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否</w:t>
                  </w:r>
                </w:p>
              </w:tc>
            </w:tr>
            <w:tr w14:paraId="1C4A4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dxa"/>
                  <w:vAlign w:val="center"/>
                </w:tcPr>
                <w:p w14:paraId="28A25BB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8</w:t>
                  </w:r>
                </w:p>
              </w:tc>
              <w:tc>
                <w:tcPr>
                  <w:tcW w:w="2641" w:type="dxa"/>
                  <w:vAlign w:val="center"/>
                </w:tcPr>
                <w:p w14:paraId="7334F16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变电站由户内布置变为户外布置</w:t>
                  </w:r>
                </w:p>
              </w:tc>
              <w:tc>
                <w:tcPr>
                  <w:tcW w:w="2428" w:type="dxa"/>
                  <w:vAlign w:val="center"/>
                </w:tcPr>
                <w:p w14:paraId="77F365A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不涉及</w:t>
                  </w:r>
                </w:p>
              </w:tc>
              <w:tc>
                <w:tcPr>
                  <w:tcW w:w="1140" w:type="dxa"/>
                  <w:vAlign w:val="center"/>
                </w:tcPr>
                <w:p w14:paraId="36B9E98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否</w:t>
                  </w:r>
                </w:p>
              </w:tc>
              <w:tc>
                <w:tcPr>
                  <w:tcW w:w="1394" w:type="dxa"/>
                  <w:vAlign w:val="center"/>
                </w:tcPr>
                <w:p w14:paraId="5B4C3DF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否</w:t>
                  </w:r>
                </w:p>
              </w:tc>
            </w:tr>
            <w:tr w14:paraId="73429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dxa"/>
                  <w:vAlign w:val="center"/>
                </w:tcPr>
                <w:p w14:paraId="1495BD0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9</w:t>
                  </w:r>
                </w:p>
              </w:tc>
              <w:tc>
                <w:tcPr>
                  <w:tcW w:w="2641" w:type="dxa"/>
                  <w:vAlign w:val="center"/>
                </w:tcPr>
                <w:p w14:paraId="4CC7BE6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输电线路由地下电缆改为架空线路</w:t>
                  </w:r>
                </w:p>
              </w:tc>
              <w:tc>
                <w:tcPr>
                  <w:tcW w:w="2428" w:type="dxa"/>
                  <w:vAlign w:val="center"/>
                </w:tcPr>
                <w:p w14:paraId="6D8E730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不涉及</w:t>
                  </w:r>
                </w:p>
              </w:tc>
              <w:tc>
                <w:tcPr>
                  <w:tcW w:w="1140" w:type="dxa"/>
                  <w:vAlign w:val="center"/>
                </w:tcPr>
                <w:p w14:paraId="39EC749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否</w:t>
                  </w:r>
                </w:p>
              </w:tc>
              <w:tc>
                <w:tcPr>
                  <w:tcW w:w="1394" w:type="dxa"/>
                  <w:vAlign w:val="center"/>
                </w:tcPr>
                <w:p w14:paraId="30E461F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否</w:t>
                  </w:r>
                </w:p>
              </w:tc>
            </w:tr>
            <w:tr w14:paraId="569D1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4" w:type="dxa"/>
                  <w:vAlign w:val="center"/>
                </w:tcPr>
                <w:p w14:paraId="656DD26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10</w:t>
                  </w:r>
                </w:p>
              </w:tc>
              <w:tc>
                <w:tcPr>
                  <w:tcW w:w="2641" w:type="dxa"/>
                  <w:vAlign w:val="center"/>
                </w:tcPr>
                <w:p w14:paraId="30168F4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输电线路同塔多回架设改为多条线路架设累计长度超过原路径长度的30</w:t>
                  </w:r>
                </w:p>
              </w:tc>
              <w:tc>
                <w:tcPr>
                  <w:tcW w:w="2428" w:type="dxa"/>
                  <w:vAlign w:val="center"/>
                </w:tcPr>
                <w:p w14:paraId="5F5DF2A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不涉及</w:t>
                  </w:r>
                </w:p>
              </w:tc>
              <w:tc>
                <w:tcPr>
                  <w:tcW w:w="1140" w:type="dxa"/>
                  <w:vAlign w:val="center"/>
                </w:tcPr>
                <w:p w14:paraId="1A04A91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否</w:t>
                  </w:r>
                </w:p>
              </w:tc>
              <w:tc>
                <w:tcPr>
                  <w:tcW w:w="1394" w:type="dxa"/>
                  <w:vAlign w:val="center"/>
                </w:tcPr>
                <w:p w14:paraId="470A396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否</w:t>
                  </w:r>
                </w:p>
              </w:tc>
            </w:tr>
          </w:tbl>
          <w:p w14:paraId="2035F360">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snapToGrid/>
                <w:color w:val="FF0000"/>
                <w:kern w:val="0"/>
                <w:sz w:val="24"/>
                <w:szCs w:val="24"/>
                <w:lang w:val="en-US" w:eastAsia="zh-CN" w:bidi="ar-SA"/>
              </w:rPr>
            </w:pPr>
          </w:p>
          <w:p w14:paraId="4A9CD46A">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napToGrid/>
                <w:color w:val="auto"/>
                <w:kern w:val="0"/>
                <w:sz w:val="24"/>
                <w:szCs w:val="24"/>
                <w:lang w:val="en-US" w:eastAsia="zh-CN" w:bidi="ar-SA"/>
              </w:rPr>
            </w:pPr>
            <w:r>
              <w:rPr>
                <w:rFonts w:hint="eastAsia" w:ascii="Times New Roman" w:hAnsi="Times New Roman" w:eastAsia="宋体" w:cs="Times New Roman"/>
                <w:snapToGrid/>
                <w:color w:val="auto"/>
                <w:kern w:val="0"/>
                <w:sz w:val="24"/>
                <w:szCs w:val="24"/>
                <w:lang w:val="en-US" w:eastAsia="zh-CN" w:bidi="ar-SA"/>
              </w:rPr>
              <w:t>由上表可知，本工程地理位置、工程内容、规模、升压站总平面布置、线路敷设方式、线路路径、环保设施和措施等与环境影响评价文件及其批复，本工程变动未构成重大变动，未导致不利环境影响显著加重，故本工程应纳入竣工环境保护验收管理。</w:t>
            </w:r>
          </w:p>
          <w:p w14:paraId="2464993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snapToGrid/>
                <w:color w:val="000000"/>
                <w:kern w:val="0"/>
                <w:sz w:val="24"/>
                <w:szCs w:val="24"/>
                <w:lang w:val="en-US" w:eastAsia="zh-CN" w:bidi="ar-SA"/>
              </w:rPr>
            </w:pPr>
          </w:p>
          <w:p w14:paraId="101A33C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snapToGrid/>
                <w:color w:val="000000"/>
                <w:kern w:val="0"/>
                <w:sz w:val="24"/>
                <w:szCs w:val="24"/>
                <w:lang w:val="en-US" w:eastAsia="zh-CN" w:bidi="ar-SA"/>
              </w:rPr>
            </w:pPr>
          </w:p>
          <w:p w14:paraId="30A9491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snapToGrid/>
                <w:color w:val="000000"/>
                <w:kern w:val="0"/>
                <w:sz w:val="24"/>
                <w:szCs w:val="24"/>
                <w:lang w:val="en-US" w:eastAsia="zh-CN" w:bidi="ar-SA"/>
              </w:rPr>
            </w:pPr>
          </w:p>
          <w:p w14:paraId="724A1CA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snapToGrid/>
                <w:color w:val="000000"/>
                <w:kern w:val="0"/>
                <w:sz w:val="24"/>
                <w:szCs w:val="24"/>
                <w:lang w:val="en-US" w:eastAsia="zh-CN" w:bidi="ar-SA"/>
              </w:rPr>
            </w:pPr>
          </w:p>
          <w:p w14:paraId="59FB28D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snapToGrid/>
                <w:color w:val="000000"/>
                <w:kern w:val="0"/>
                <w:sz w:val="24"/>
                <w:szCs w:val="24"/>
                <w:lang w:val="en-US" w:eastAsia="zh-CN" w:bidi="ar-SA"/>
              </w:rPr>
            </w:pPr>
          </w:p>
          <w:p w14:paraId="4745D53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snapToGrid/>
                <w:color w:val="000000"/>
                <w:kern w:val="0"/>
                <w:sz w:val="24"/>
                <w:szCs w:val="24"/>
                <w:lang w:val="en-US" w:eastAsia="zh-CN" w:bidi="ar-SA"/>
              </w:rPr>
            </w:pPr>
          </w:p>
          <w:p w14:paraId="613A179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snapToGrid/>
                <w:color w:val="000000"/>
                <w:kern w:val="0"/>
                <w:sz w:val="24"/>
                <w:szCs w:val="24"/>
                <w:lang w:val="en-US" w:eastAsia="zh-CN" w:bidi="ar-SA"/>
              </w:rPr>
            </w:pPr>
          </w:p>
          <w:p w14:paraId="52F377F2">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snapToGrid/>
                <w:color w:val="000000"/>
                <w:kern w:val="0"/>
                <w:sz w:val="24"/>
                <w:szCs w:val="24"/>
                <w:lang w:val="en-US" w:eastAsia="zh-CN" w:bidi="ar-SA"/>
              </w:rPr>
            </w:pPr>
          </w:p>
          <w:p w14:paraId="74AC7AC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snapToGrid/>
                <w:color w:val="000000"/>
                <w:kern w:val="0"/>
                <w:sz w:val="24"/>
                <w:szCs w:val="24"/>
                <w:lang w:val="en-US" w:eastAsia="zh-CN" w:bidi="ar-SA"/>
              </w:rPr>
            </w:pPr>
          </w:p>
          <w:p w14:paraId="28ABD99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snapToGrid/>
                <w:color w:val="000000"/>
                <w:kern w:val="0"/>
                <w:sz w:val="24"/>
                <w:szCs w:val="24"/>
                <w:lang w:val="en-US" w:eastAsia="zh-CN" w:bidi="ar-SA"/>
              </w:rPr>
            </w:pPr>
          </w:p>
          <w:p w14:paraId="208861D2">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snapToGrid/>
                <w:color w:val="000000"/>
                <w:kern w:val="0"/>
                <w:sz w:val="24"/>
                <w:szCs w:val="24"/>
                <w:lang w:val="en-US" w:eastAsia="zh-CN" w:bidi="ar-SA"/>
              </w:rPr>
            </w:pPr>
          </w:p>
          <w:p w14:paraId="509FBCA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snapToGrid/>
                <w:color w:val="000000"/>
                <w:kern w:val="0"/>
                <w:sz w:val="24"/>
                <w:szCs w:val="24"/>
                <w:lang w:val="en-US" w:eastAsia="zh-CN" w:bidi="ar-SA"/>
              </w:rPr>
            </w:pPr>
          </w:p>
          <w:p w14:paraId="7141A18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snapToGrid/>
                <w:color w:val="000000"/>
                <w:kern w:val="0"/>
                <w:sz w:val="24"/>
                <w:szCs w:val="24"/>
                <w:lang w:val="en-US" w:eastAsia="zh-CN" w:bidi="ar-SA"/>
              </w:rPr>
            </w:pPr>
          </w:p>
          <w:p w14:paraId="45E876A2">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snapToGrid/>
                <w:color w:val="000000"/>
                <w:kern w:val="0"/>
                <w:sz w:val="24"/>
                <w:szCs w:val="24"/>
                <w:lang w:val="en-US" w:eastAsia="zh-CN" w:bidi="ar-SA"/>
              </w:rPr>
            </w:pPr>
          </w:p>
          <w:p w14:paraId="7F0C776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snapToGrid/>
                <w:color w:val="000000"/>
                <w:kern w:val="0"/>
                <w:sz w:val="24"/>
                <w:szCs w:val="24"/>
                <w:lang w:val="en-US" w:eastAsia="zh-CN" w:bidi="ar-SA"/>
              </w:rPr>
            </w:pPr>
          </w:p>
          <w:p w14:paraId="390ECF0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snapToGrid/>
                <w:color w:val="000000"/>
                <w:kern w:val="0"/>
                <w:sz w:val="24"/>
                <w:szCs w:val="24"/>
                <w:lang w:val="en-US" w:eastAsia="zh-CN" w:bidi="ar-SA"/>
              </w:rPr>
            </w:pPr>
          </w:p>
          <w:p w14:paraId="7ED4A00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snapToGrid/>
                <w:color w:val="000000"/>
                <w:kern w:val="0"/>
                <w:sz w:val="24"/>
                <w:szCs w:val="24"/>
                <w:lang w:val="en-US" w:eastAsia="zh-CN" w:bidi="ar-SA"/>
              </w:rPr>
            </w:pPr>
          </w:p>
          <w:p w14:paraId="12F7D2E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snapToGrid/>
                <w:color w:val="000000"/>
                <w:kern w:val="0"/>
                <w:sz w:val="24"/>
                <w:szCs w:val="24"/>
                <w:lang w:val="en-US" w:eastAsia="zh-CN" w:bidi="ar-SA"/>
              </w:rPr>
            </w:pPr>
          </w:p>
          <w:p w14:paraId="6A8616B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snapToGrid/>
                <w:color w:val="000000"/>
                <w:kern w:val="0"/>
                <w:sz w:val="24"/>
                <w:szCs w:val="24"/>
                <w:lang w:val="en-US" w:eastAsia="zh-CN" w:bidi="ar-SA"/>
              </w:rPr>
            </w:pPr>
          </w:p>
          <w:p w14:paraId="3548B24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snapToGrid/>
                <w:color w:val="000000"/>
                <w:kern w:val="0"/>
                <w:sz w:val="24"/>
                <w:szCs w:val="24"/>
                <w:lang w:val="en-US" w:eastAsia="zh-CN" w:bidi="ar-SA"/>
              </w:rPr>
            </w:pPr>
          </w:p>
          <w:p w14:paraId="7736049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snapToGrid/>
                <w:color w:val="000000"/>
                <w:kern w:val="0"/>
                <w:sz w:val="24"/>
                <w:szCs w:val="24"/>
                <w:lang w:val="en-US" w:eastAsia="zh-CN" w:bidi="ar-SA"/>
              </w:rPr>
            </w:pPr>
          </w:p>
          <w:p w14:paraId="1F51905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snapToGrid/>
                <w:color w:val="000000"/>
                <w:kern w:val="0"/>
                <w:sz w:val="24"/>
                <w:szCs w:val="24"/>
                <w:lang w:val="en-US" w:eastAsia="zh-CN" w:bidi="ar-SA"/>
              </w:rPr>
            </w:pPr>
          </w:p>
          <w:p w14:paraId="1928EBA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snapToGrid/>
                <w:color w:val="000000"/>
                <w:kern w:val="0"/>
                <w:sz w:val="24"/>
                <w:szCs w:val="24"/>
                <w:lang w:val="en-US" w:eastAsia="zh-CN" w:bidi="ar-SA"/>
              </w:rPr>
            </w:pPr>
          </w:p>
          <w:p w14:paraId="3D491C8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snapToGrid/>
                <w:color w:val="000000"/>
                <w:kern w:val="0"/>
                <w:sz w:val="24"/>
                <w:szCs w:val="24"/>
                <w:lang w:val="en-US" w:eastAsia="zh-CN" w:bidi="ar-SA"/>
              </w:rPr>
            </w:pPr>
          </w:p>
          <w:p w14:paraId="047C895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snapToGrid/>
                <w:color w:val="000000"/>
                <w:kern w:val="0"/>
                <w:sz w:val="24"/>
                <w:szCs w:val="24"/>
                <w:lang w:val="en-US" w:eastAsia="zh-CN" w:bidi="ar-SA"/>
              </w:rPr>
            </w:pPr>
          </w:p>
          <w:p w14:paraId="4A06227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snapToGrid/>
                <w:color w:val="000000"/>
                <w:kern w:val="0"/>
                <w:sz w:val="24"/>
                <w:szCs w:val="24"/>
                <w:lang w:val="en-US" w:eastAsia="zh-CN" w:bidi="ar-SA"/>
              </w:rPr>
            </w:pPr>
          </w:p>
          <w:p w14:paraId="1DD6CB3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napToGrid/>
                <w:color w:val="000000"/>
                <w:kern w:val="0"/>
                <w:sz w:val="24"/>
                <w:szCs w:val="24"/>
                <w:lang w:val="en-US" w:eastAsia="zh-CN" w:bidi="ar-SA"/>
              </w:rPr>
            </w:pPr>
          </w:p>
        </w:tc>
      </w:tr>
    </w:tbl>
    <w:p w14:paraId="1531C4BD">
      <w:pPr>
        <w:rPr>
          <w:rFonts w:ascii="Arial"/>
          <w:sz w:val="21"/>
        </w:rPr>
      </w:pPr>
    </w:p>
    <w:p w14:paraId="6597ADD2">
      <w:pPr>
        <w:sectPr>
          <w:headerReference r:id="rId8" w:type="default"/>
          <w:footerReference r:id="rId9" w:type="default"/>
          <w:pgSz w:w="11905" w:h="16838"/>
          <w:pgMar w:top="1440" w:right="1803" w:bottom="1440" w:left="1803" w:header="1457" w:footer="992" w:gutter="0"/>
          <w:pgBorders>
            <w:top w:val="none" w:sz="0" w:space="0"/>
            <w:left w:val="none" w:sz="0" w:space="0"/>
            <w:bottom w:val="none" w:sz="0" w:space="0"/>
            <w:right w:val="none" w:sz="0" w:space="0"/>
          </w:pgBorders>
          <w:pgNumType w:fmt="decimal"/>
          <w:cols w:space="0" w:num="1"/>
          <w:rtlGutter w:val="0"/>
          <w:docGrid w:linePitch="0" w:charSpace="0"/>
        </w:sectPr>
      </w:pPr>
    </w:p>
    <w:p w14:paraId="3756ADE5">
      <w:pPr>
        <w:widowControl/>
        <w:kinsoku/>
        <w:autoSpaceDE/>
        <w:autoSpaceDN/>
        <w:adjustRightInd/>
        <w:snapToGrid/>
        <w:spacing w:line="240" w:lineRule="auto"/>
        <w:jc w:val="center"/>
        <w:textAlignment w:val="auto"/>
        <w:rPr>
          <w:rFonts w:hint="default" w:ascii="Times New Roman" w:hAnsi="Times New Roman" w:eastAsia="黑体" w:cs="Times New Roman"/>
          <w:b/>
          <w:bCs/>
          <w:snapToGrid/>
          <w:color w:val="000000"/>
          <w:kern w:val="0"/>
          <w:sz w:val="28"/>
          <w:szCs w:val="28"/>
          <w:lang w:val="en-US" w:eastAsia="zh-CN" w:bidi="ar-SA"/>
        </w:rPr>
      </w:pPr>
      <w:r>
        <w:rPr>
          <w:rFonts w:hint="default" w:ascii="Times New Roman" w:hAnsi="Times New Roman" w:eastAsia="黑体" w:cs="Times New Roman"/>
          <w:b/>
          <w:bCs/>
          <w:snapToGrid/>
          <w:color w:val="000000"/>
          <w:kern w:val="0"/>
          <w:sz w:val="28"/>
          <w:szCs w:val="28"/>
          <w:lang w:val="en-US" w:eastAsia="zh-CN" w:bidi="ar-SA"/>
        </w:rPr>
        <w:t>表5环境影响评价回顾</w:t>
      </w:r>
    </w:p>
    <w:p w14:paraId="44C499A7">
      <w:pPr>
        <w:spacing w:line="89" w:lineRule="exact"/>
      </w:pPr>
    </w:p>
    <w:tbl>
      <w:tblPr>
        <w:tblStyle w:val="16"/>
        <w:tblW w:w="5000"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8329"/>
      </w:tblGrid>
      <w:tr w14:paraId="3AC8065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6525" w:hRule="atLeast"/>
          <w:jc w:val="center"/>
        </w:trPr>
        <w:tc>
          <w:tcPr>
            <w:tcW w:w="5000" w:type="pct"/>
            <w:tcBorders>
              <w:tl2br w:val="nil"/>
              <w:tr2bl w:val="nil"/>
            </w:tcBorders>
            <w:vAlign w:val="top"/>
          </w:tcPr>
          <w:p w14:paraId="5FBD2A93">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环境影响评价的主要环境影响预测及结论</w:t>
            </w:r>
            <w:r>
              <w:rPr>
                <w:rFonts w:hint="eastAsia" w:ascii="Times New Roman" w:hAnsi="Times New Roman" w:eastAsia="宋体" w:cs="Times New Roman"/>
                <w:b/>
                <w:bCs/>
                <w:snapToGrid/>
                <w:color w:val="000000"/>
                <w:kern w:val="0"/>
                <w:sz w:val="24"/>
                <w:szCs w:val="24"/>
                <w:lang w:val="en-US" w:eastAsia="zh-CN" w:bidi="ar-SA"/>
              </w:rPr>
              <w:t>（</w:t>
            </w:r>
            <w:r>
              <w:rPr>
                <w:rFonts w:hint="default" w:ascii="Times New Roman" w:hAnsi="Times New Roman" w:eastAsia="宋体" w:cs="Times New Roman"/>
                <w:b/>
                <w:bCs/>
                <w:snapToGrid/>
                <w:color w:val="000000"/>
                <w:kern w:val="0"/>
                <w:sz w:val="24"/>
                <w:szCs w:val="24"/>
                <w:lang w:val="en-US" w:eastAsia="zh-CN" w:bidi="ar-SA"/>
              </w:rPr>
              <w:t>生态、电磁、声、水、固体废物等</w:t>
            </w:r>
            <w:r>
              <w:rPr>
                <w:rFonts w:hint="eastAsia" w:ascii="Times New Roman" w:hAnsi="Times New Roman" w:eastAsia="宋体" w:cs="Times New Roman"/>
                <w:b/>
                <w:bCs/>
                <w:snapToGrid/>
                <w:color w:val="000000"/>
                <w:kern w:val="0"/>
                <w:sz w:val="24"/>
                <w:szCs w:val="24"/>
                <w:lang w:val="en-US" w:eastAsia="zh-CN" w:bidi="ar-SA"/>
              </w:rPr>
              <w:t>）</w:t>
            </w:r>
          </w:p>
          <w:p w14:paraId="3E82CA32">
            <w:pPr>
              <w:keepNext w:val="0"/>
              <w:keepLines w:val="0"/>
              <w:pageBreakBefore w:val="0"/>
              <w:widowControl/>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napToGrid/>
                <w:color w:val="000000"/>
                <w:kern w:val="0"/>
                <w:sz w:val="24"/>
                <w:szCs w:val="24"/>
                <w:lang w:val="en-US" w:eastAsia="zh-CN" w:bidi="ar-SA"/>
              </w:rPr>
            </w:pPr>
            <w:r>
              <w:rPr>
                <w:rFonts w:hint="eastAsia" w:ascii="Times New Roman" w:hAnsi="Times New Roman" w:eastAsia="宋体" w:cs="Times New Roman"/>
                <w:b/>
                <w:bCs/>
                <w:snapToGrid/>
                <w:color w:val="000000"/>
                <w:kern w:val="0"/>
                <w:sz w:val="24"/>
                <w:szCs w:val="24"/>
                <w:lang w:val="en-US" w:eastAsia="zh-CN" w:bidi="ar-SA"/>
              </w:rPr>
              <w:t>1、主要</w:t>
            </w:r>
            <w:r>
              <w:rPr>
                <w:rFonts w:hint="default" w:ascii="Times New Roman" w:hAnsi="Times New Roman" w:eastAsia="宋体" w:cs="Times New Roman"/>
                <w:b/>
                <w:bCs/>
                <w:snapToGrid/>
                <w:color w:val="000000"/>
                <w:kern w:val="0"/>
                <w:sz w:val="24"/>
                <w:szCs w:val="24"/>
                <w:lang w:val="en-US" w:eastAsia="zh-CN" w:bidi="ar-SA"/>
              </w:rPr>
              <w:t>环境影响预测</w:t>
            </w:r>
          </w:p>
          <w:p w14:paraId="3044A045">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（1）生态环境</w:t>
            </w:r>
          </w:p>
          <w:p w14:paraId="7F1634EF">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snapToGrid/>
                <w:color w:val="000000"/>
                <w:kern w:val="0"/>
                <w:sz w:val="24"/>
                <w:szCs w:val="24"/>
                <w:lang w:val="en-US" w:eastAsia="zh-CN" w:bidi="ar-SA"/>
              </w:rPr>
            </w:pPr>
            <w:r>
              <w:rPr>
                <w:rFonts w:hint="default" w:ascii="Times New Roman" w:hAnsi="Times New Roman" w:eastAsia="宋体" w:cs="Times New Roman"/>
                <w:b w:val="0"/>
                <w:bCs w:val="0"/>
                <w:snapToGrid/>
                <w:color w:val="000000"/>
                <w:kern w:val="0"/>
                <w:sz w:val="24"/>
                <w:szCs w:val="24"/>
                <w:lang w:val="en-US" w:eastAsia="zh-CN" w:bidi="ar-SA"/>
              </w:rPr>
              <w:t>施工期对生态环境的影响主要为土地占用、植被破坏和水土流失等。</w:t>
            </w:r>
          </w:p>
          <w:p w14:paraId="0031F31D">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snapToGrid/>
                <w:color w:val="000000"/>
                <w:kern w:val="0"/>
                <w:sz w:val="24"/>
                <w:szCs w:val="24"/>
                <w:lang w:val="en-US" w:eastAsia="zh-CN" w:bidi="ar-SA"/>
              </w:rPr>
            </w:pPr>
            <w:r>
              <w:rPr>
                <w:rFonts w:hint="default" w:ascii="Times New Roman" w:hAnsi="Times New Roman" w:eastAsia="宋体" w:cs="Times New Roman"/>
                <w:b w:val="0"/>
                <w:bCs w:val="0"/>
                <w:snapToGrid/>
                <w:color w:val="000000"/>
                <w:kern w:val="0"/>
                <w:sz w:val="24"/>
                <w:szCs w:val="24"/>
                <w:lang w:val="en-US" w:eastAsia="zh-CN" w:bidi="ar-SA"/>
              </w:rPr>
              <w:t>本项目对土地的占用主要表现为工程施工期的临时占地。材料运输过程中，应充分利用现有公路，减少临时便道；材料运至施工场地后，应合理布置，减少临时占地；施工结束后及时清理现场，尽可能恢复原状地貌。由于</w:t>
            </w:r>
            <w:r>
              <w:rPr>
                <w:rFonts w:hint="eastAsia" w:ascii="Times New Roman" w:hAnsi="Times New Roman" w:eastAsia="宋体" w:cs="Times New Roman"/>
                <w:b w:val="0"/>
                <w:bCs w:val="0"/>
                <w:snapToGrid/>
                <w:color w:val="000000"/>
                <w:kern w:val="0"/>
                <w:sz w:val="24"/>
                <w:szCs w:val="24"/>
                <w:lang w:val="en-US" w:eastAsia="zh-CN" w:bidi="ar-SA"/>
              </w:rPr>
              <w:t>升压站</w:t>
            </w:r>
            <w:r>
              <w:rPr>
                <w:rFonts w:hint="default" w:ascii="Times New Roman" w:hAnsi="Times New Roman" w:eastAsia="宋体" w:cs="Times New Roman"/>
                <w:b w:val="0"/>
                <w:bCs w:val="0"/>
                <w:snapToGrid/>
                <w:color w:val="000000"/>
                <w:kern w:val="0"/>
                <w:sz w:val="24"/>
                <w:szCs w:val="24"/>
                <w:lang w:val="en-US" w:eastAsia="zh-CN" w:bidi="ar-SA"/>
              </w:rPr>
              <w:t>占地面积小，施工砍伐量少，且均为常见植物种，对植物资源的影响很小，建成后，中间空地仍可进行植被恢复，进一步减轻了植被影响程度因此，本工程的建设可能造成所在区域植被数量上的轻微减少，但不会造成林木蓄积量的明显减少和植被类型的减少，也不会造成所在区域内植物多样性及群落结构的变化，对植物资源的影响轻微。施工时土方开挖、回填以及临时堆土等导致地表裸露和土层结构破坏，若遇大风或降雨天气将加剧水土流失。施工时合理安排施工工期，避开雨季土建施工，对开挖土方进行苫盖、施工场地修建排水设施、沉淀池等，施工结束后，对临时占地采取工程措施恢复水土保持功能等措施，最大程度的减少水土流失。</w:t>
            </w:r>
          </w:p>
          <w:p w14:paraId="6A92B024">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snapToGrid/>
                <w:color w:val="000000"/>
                <w:kern w:val="0"/>
                <w:sz w:val="24"/>
                <w:szCs w:val="24"/>
                <w:lang w:val="en-US" w:eastAsia="zh-CN" w:bidi="ar-SA"/>
              </w:rPr>
            </w:pPr>
            <w:r>
              <w:rPr>
                <w:rFonts w:hint="default" w:ascii="Times New Roman" w:hAnsi="Times New Roman" w:eastAsia="宋体" w:cs="Times New Roman"/>
                <w:b w:val="0"/>
                <w:bCs w:val="0"/>
                <w:snapToGrid/>
                <w:color w:val="000000"/>
                <w:kern w:val="0"/>
                <w:sz w:val="24"/>
                <w:szCs w:val="24"/>
                <w:lang w:val="en-US" w:eastAsia="zh-CN" w:bidi="ar-SA"/>
              </w:rPr>
              <w:t>运行期做好环境保护设施的维护和运行管理，进行线路巡检和维护时，避免过多人员和车辆进入耕地或其他生态环境敏感区，以减少对当地地表土壤结构和植被的破坏，避免过多干扰野生动物的生境；强化设备检修维护人员的生态环境保护意识教育，并严格管理，避免对项目周边的自然植被和生态系统的破坏。</w:t>
            </w:r>
          </w:p>
          <w:p w14:paraId="52A0D66B">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snapToGrid/>
                <w:color w:val="000000"/>
                <w:kern w:val="0"/>
                <w:sz w:val="24"/>
                <w:szCs w:val="24"/>
                <w:lang w:val="en-US" w:eastAsia="zh-CN" w:bidi="ar-SA"/>
              </w:rPr>
            </w:pPr>
            <w:r>
              <w:rPr>
                <w:rFonts w:hint="default" w:ascii="Times New Roman" w:hAnsi="Times New Roman" w:eastAsia="宋体" w:cs="Times New Roman"/>
                <w:b w:val="0"/>
                <w:bCs w:val="0"/>
                <w:snapToGrid/>
                <w:color w:val="000000"/>
                <w:kern w:val="0"/>
                <w:sz w:val="24"/>
                <w:szCs w:val="24"/>
                <w:lang w:val="en-US" w:eastAsia="zh-CN" w:bidi="ar-SA"/>
              </w:rPr>
              <w:t>（</w:t>
            </w:r>
            <w:r>
              <w:rPr>
                <w:rFonts w:hint="eastAsia" w:ascii="Times New Roman" w:hAnsi="Times New Roman" w:eastAsia="宋体" w:cs="Times New Roman"/>
                <w:b w:val="0"/>
                <w:bCs w:val="0"/>
                <w:snapToGrid/>
                <w:color w:val="000000"/>
                <w:kern w:val="0"/>
                <w:sz w:val="24"/>
                <w:szCs w:val="24"/>
                <w:lang w:val="en-US" w:eastAsia="zh-CN" w:bidi="ar-SA"/>
              </w:rPr>
              <w:t>2</w:t>
            </w:r>
            <w:r>
              <w:rPr>
                <w:rFonts w:hint="default" w:ascii="Times New Roman" w:hAnsi="Times New Roman" w:eastAsia="宋体" w:cs="Times New Roman"/>
                <w:b w:val="0"/>
                <w:bCs w:val="0"/>
                <w:snapToGrid/>
                <w:color w:val="000000"/>
                <w:kern w:val="0"/>
                <w:sz w:val="24"/>
                <w:szCs w:val="24"/>
                <w:lang w:val="en-US" w:eastAsia="zh-CN" w:bidi="ar-SA"/>
              </w:rPr>
              <w:t>）站电磁环境</w:t>
            </w:r>
          </w:p>
          <w:p w14:paraId="0E3C2ECA">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snapToGrid/>
                <w:color w:val="000000"/>
                <w:kern w:val="0"/>
                <w:sz w:val="24"/>
                <w:szCs w:val="24"/>
                <w:lang w:val="en-US" w:eastAsia="zh-CN" w:bidi="ar-SA"/>
              </w:rPr>
            </w:pPr>
            <w:r>
              <w:rPr>
                <w:rFonts w:hint="default" w:ascii="Times New Roman" w:hAnsi="Times New Roman" w:eastAsia="宋体" w:cs="Times New Roman"/>
                <w:b w:val="0"/>
                <w:bCs w:val="0"/>
                <w:snapToGrid/>
                <w:color w:val="000000"/>
                <w:kern w:val="0"/>
                <w:sz w:val="24"/>
                <w:szCs w:val="24"/>
                <w:lang w:val="en-US" w:eastAsia="zh-CN" w:bidi="ar-SA"/>
              </w:rPr>
              <w:t>通过分析已运行</w:t>
            </w:r>
            <w:r>
              <w:rPr>
                <w:rFonts w:hint="eastAsia" w:ascii="Times New Roman" w:hAnsi="Times New Roman" w:eastAsia="宋体" w:cs="Times New Roman"/>
                <w:b w:val="0"/>
                <w:bCs w:val="0"/>
                <w:snapToGrid/>
                <w:color w:val="000000"/>
                <w:kern w:val="0"/>
                <w:sz w:val="24"/>
                <w:szCs w:val="24"/>
                <w:lang w:val="en-US" w:eastAsia="zh-CN" w:bidi="ar-SA"/>
              </w:rPr>
              <w:t>升压站</w:t>
            </w:r>
            <w:r>
              <w:rPr>
                <w:rFonts w:hint="default" w:ascii="Times New Roman" w:hAnsi="Times New Roman" w:eastAsia="宋体" w:cs="Times New Roman"/>
                <w:b w:val="0"/>
                <w:bCs w:val="0"/>
                <w:snapToGrid/>
                <w:color w:val="000000"/>
                <w:kern w:val="0"/>
                <w:sz w:val="24"/>
                <w:szCs w:val="24"/>
                <w:lang w:val="en-US" w:eastAsia="zh-CN" w:bidi="ar-SA"/>
              </w:rPr>
              <w:t>的类比检测结果，可以预测</w:t>
            </w:r>
            <w:r>
              <w:rPr>
                <w:rFonts w:hint="eastAsia" w:ascii="Times New Roman" w:hAnsi="Times New Roman" w:eastAsia="宋体" w:cs="Times New Roman"/>
                <w:b w:val="0"/>
                <w:bCs w:val="0"/>
                <w:snapToGrid/>
                <w:color w:val="000000"/>
                <w:kern w:val="0"/>
                <w:sz w:val="24"/>
                <w:szCs w:val="24"/>
                <w:lang w:val="en-US" w:eastAsia="zh-CN" w:bidi="ar-SA"/>
              </w:rPr>
              <w:t>升压站</w:t>
            </w:r>
            <w:r>
              <w:rPr>
                <w:rFonts w:hint="default" w:ascii="Times New Roman" w:hAnsi="Times New Roman" w:eastAsia="宋体" w:cs="Times New Roman"/>
                <w:b w:val="0"/>
                <w:bCs w:val="0"/>
                <w:snapToGrid/>
                <w:color w:val="000000"/>
                <w:kern w:val="0"/>
                <w:sz w:val="24"/>
                <w:szCs w:val="24"/>
                <w:lang w:val="en-US" w:eastAsia="zh-CN" w:bidi="ar-SA"/>
              </w:rPr>
              <w:t>运行后产生的工频电场、工频磁场均能满足4000V/m、100μT的标准限值要求。</w:t>
            </w:r>
          </w:p>
          <w:p w14:paraId="2A75247B">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（3）声环境</w:t>
            </w:r>
          </w:p>
          <w:p w14:paraId="0E35D23A">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施工期主要是施工机械噪声和运输车辆交通噪声，其中施工机械噪声主要是由施工时物件碰撞产生的，噪声排放具有瞬间性和不定性；运输车辆交通噪声主要是车辆发动机及车辆鸣笛产生的噪声，具有短暂性特点。</w:t>
            </w:r>
          </w:p>
          <w:p w14:paraId="2D59C581">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施工主要包括基础开挖、基础浇筑，将采用人工/机械方式，噪声贡献值很小。因此施工期噪声预测考虑基础开挖及基础浇筑两个阶段。本工程线路采用刚性台式基础、钻孔灌注桩基础。根据环评报告表预测结果，项目施工选用低噪声设备，在高噪声设备周围设置移动的隔声屏障，严禁夜间施工，在采取相关降噪措施后，噪声可达到相应声环境功能区要求。通过类比预测结果分析，本项目</w:t>
            </w:r>
            <w:r>
              <w:rPr>
                <w:rFonts w:hint="default" w:ascii="Times New Roman" w:hAnsi="Times New Roman" w:eastAsia="宋体" w:cs="Times New Roman"/>
                <w:b w:val="0"/>
                <w:bCs w:val="0"/>
                <w:snapToGrid/>
                <w:color w:val="000000"/>
                <w:kern w:val="0"/>
                <w:sz w:val="24"/>
                <w:szCs w:val="24"/>
                <w:lang w:val="en-US" w:eastAsia="zh-CN" w:bidi="ar-SA"/>
              </w:rPr>
              <w:t>投运后，</w:t>
            </w:r>
            <w:r>
              <w:rPr>
                <w:rFonts w:hint="eastAsia" w:ascii="Times New Roman" w:hAnsi="Times New Roman" w:eastAsia="宋体" w:cs="Times New Roman"/>
                <w:b w:val="0"/>
                <w:bCs w:val="0"/>
                <w:snapToGrid/>
                <w:color w:val="000000"/>
                <w:kern w:val="0"/>
                <w:sz w:val="24"/>
                <w:szCs w:val="24"/>
                <w:lang w:val="en-US" w:eastAsia="zh-CN" w:bidi="ar-SA"/>
              </w:rPr>
              <w:t>升压站</w:t>
            </w:r>
            <w:r>
              <w:rPr>
                <w:rFonts w:hint="default" w:ascii="Times New Roman" w:hAnsi="Times New Roman" w:eastAsia="宋体" w:cs="Times New Roman"/>
                <w:b w:val="0"/>
                <w:bCs w:val="0"/>
                <w:snapToGrid/>
                <w:color w:val="000000"/>
                <w:kern w:val="0"/>
                <w:sz w:val="24"/>
                <w:szCs w:val="24"/>
                <w:lang w:val="en-US" w:eastAsia="zh-CN" w:bidi="ar-SA"/>
              </w:rPr>
              <w:t>厂界环境噪声排放贡献值昼间、夜间均能满足《工业企业厂界环境噪声排放标准》（GB12348-2008）中2类标准要求。</w:t>
            </w:r>
          </w:p>
          <w:p w14:paraId="02A5357A">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（4）水环境</w:t>
            </w:r>
          </w:p>
          <w:p w14:paraId="7C014EA1">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snapToGrid/>
                <w:color w:val="000000"/>
                <w:kern w:val="0"/>
                <w:sz w:val="24"/>
                <w:szCs w:val="24"/>
                <w:lang w:val="en-US" w:eastAsia="zh-CN" w:bidi="ar-SA"/>
              </w:rPr>
            </w:pPr>
            <w:r>
              <w:rPr>
                <w:rFonts w:hint="default" w:ascii="Times New Roman" w:hAnsi="Times New Roman" w:eastAsia="宋体" w:cs="Times New Roman"/>
                <w:b w:val="0"/>
                <w:bCs w:val="0"/>
                <w:snapToGrid/>
                <w:color w:val="000000"/>
                <w:kern w:val="0"/>
                <w:sz w:val="24"/>
                <w:szCs w:val="24"/>
                <w:lang w:val="en-US" w:eastAsia="zh-CN" w:bidi="ar-SA"/>
              </w:rPr>
              <w:t>本项目施工过程中产生的废水主要为少量施工废水及施工人员的生活污水。施工中混凝土一般采用商品混凝土，用水量较小，几乎无施工废水排放。施工人员的生活污水排入化粪池中，定期清理。灌注基础设置泥浆沉淀池，施工废水经沉淀后，用于场地洒水或喷淋，不外排。</w:t>
            </w:r>
            <w:r>
              <w:rPr>
                <w:rFonts w:hint="eastAsia" w:ascii="Times New Roman" w:hAnsi="Times New Roman" w:eastAsia="宋体" w:cs="Times New Roman"/>
                <w:b w:val="0"/>
                <w:bCs w:val="0"/>
                <w:snapToGrid/>
                <w:color w:val="000000"/>
                <w:kern w:val="0"/>
                <w:sz w:val="24"/>
                <w:szCs w:val="24"/>
                <w:lang w:val="en-US" w:eastAsia="zh-CN" w:bidi="ar-SA"/>
              </w:rPr>
              <w:t>因此，本项目</w:t>
            </w:r>
            <w:r>
              <w:rPr>
                <w:rFonts w:hint="default" w:ascii="Times New Roman" w:hAnsi="Times New Roman" w:eastAsia="宋体" w:cs="Times New Roman"/>
                <w:b w:val="0"/>
                <w:bCs w:val="0"/>
                <w:snapToGrid/>
                <w:color w:val="000000"/>
                <w:kern w:val="0"/>
                <w:sz w:val="24"/>
                <w:szCs w:val="24"/>
                <w:lang w:val="en-US" w:eastAsia="zh-CN" w:bidi="ar-SA"/>
              </w:rPr>
              <w:t>对周围水环境影响</w:t>
            </w:r>
            <w:r>
              <w:rPr>
                <w:rFonts w:hint="eastAsia" w:ascii="Times New Roman" w:hAnsi="Times New Roman" w:eastAsia="宋体" w:cs="Times New Roman"/>
                <w:b w:val="0"/>
                <w:bCs w:val="0"/>
                <w:snapToGrid/>
                <w:color w:val="000000"/>
                <w:kern w:val="0"/>
                <w:sz w:val="24"/>
                <w:szCs w:val="24"/>
                <w:lang w:val="en-US" w:eastAsia="zh-CN" w:bidi="ar-SA"/>
              </w:rPr>
              <w:t>可接受</w:t>
            </w:r>
            <w:r>
              <w:rPr>
                <w:rFonts w:hint="default" w:ascii="Times New Roman" w:hAnsi="Times New Roman" w:eastAsia="宋体" w:cs="Times New Roman"/>
                <w:b w:val="0"/>
                <w:bCs w:val="0"/>
                <w:snapToGrid/>
                <w:color w:val="000000"/>
                <w:kern w:val="0"/>
                <w:sz w:val="24"/>
                <w:szCs w:val="24"/>
                <w:lang w:val="en-US" w:eastAsia="zh-CN" w:bidi="ar-SA"/>
              </w:rPr>
              <w:t>。</w:t>
            </w:r>
          </w:p>
          <w:p w14:paraId="259E33D2">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（5）大气环境</w:t>
            </w:r>
          </w:p>
          <w:p w14:paraId="401327F2">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施工开挖、土石方回填、施工现场的清理平整、以及施工车辆行驶产生的二次扬尘和对环境空气质量造成的暂时性的和局部的影响。工程施工时，车辆运输产生的扬尘短期内将使局部区域空气中的TSP明显增加，对周围局部地区的环境产生暂时影响，通过采取防尘控制措施，施工期间对大气影响较小。运行期间无大气污染物产生。</w:t>
            </w:r>
          </w:p>
          <w:p w14:paraId="1F95C92D">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（6）固体废物</w:t>
            </w:r>
          </w:p>
          <w:p w14:paraId="09B9AA17">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val="0"/>
                <w:bCs w:val="0"/>
                <w:snapToGrid/>
                <w:color w:val="000000"/>
                <w:kern w:val="0"/>
                <w:sz w:val="24"/>
                <w:szCs w:val="24"/>
                <w:lang w:val="en-US" w:eastAsia="zh-CN" w:bidi="ar-SA"/>
              </w:rPr>
              <w:t>生活垃圾由环卫单位统一清运。废铅酸蓄电池、废变压器、废机油等按危险废物暂存要求在升压站内</w:t>
            </w:r>
            <w:r>
              <w:rPr>
                <w:rFonts w:hint="eastAsia" w:ascii="Times New Roman" w:hAnsi="Times New Roman" w:eastAsia="宋体" w:cs="Times New Roman"/>
                <w:b w:val="0"/>
                <w:bCs w:val="0"/>
                <w:snapToGrid/>
                <w:color w:val="000000"/>
                <w:kern w:val="0"/>
                <w:sz w:val="24"/>
                <w:szCs w:val="24"/>
                <w:lang w:val="en-US" w:eastAsia="zh-CN" w:bidi="ar-SA"/>
              </w:rPr>
              <w:t>危废贮存库</w:t>
            </w:r>
            <w:r>
              <w:rPr>
                <w:rFonts w:hint="default" w:ascii="Times New Roman" w:hAnsi="Times New Roman" w:eastAsia="宋体" w:cs="Times New Roman"/>
                <w:b w:val="0"/>
                <w:bCs w:val="0"/>
                <w:snapToGrid/>
                <w:color w:val="000000"/>
                <w:kern w:val="0"/>
                <w:sz w:val="24"/>
                <w:szCs w:val="24"/>
                <w:lang w:val="en-US" w:eastAsia="zh-CN" w:bidi="ar-SA"/>
              </w:rPr>
              <w:t>暂存，委托有资质单位进行处理处置。</w:t>
            </w:r>
            <w:r>
              <w:rPr>
                <w:rFonts w:hint="eastAsia" w:ascii="Times New Roman" w:hAnsi="Times New Roman" w:eastAsia="宋体" w:cs="Times New Roman"/>
                <w:b w:val="0"/>
                <w:bCs w:val="0"/>
                <w:snapToGrid/>
                <w:color w:val="000000"/>
                <w:kern w:val="0"/>
                <w:sz w:val="24"/>
                <w:szCs w:val="24"/>
                <w:lang w:val="en-US" w:eastAsia="zh-CN" w:bidi="ar-SA"/>
              </w:rPr>
              <w:t>固体废物不会造成二次污染。</w:t>
            </w:r>
          </w:p>
          <w:p w14:paraId="0B8F1A8F">
            <w:pPr>
              <w:keepNext w:val="0"/>
              <w:keepLines w:val="0"/>
              <w:pageBreakBefore w:val="0"/>
              <w:widowControl/>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snapToGrid/>
                <w:color w:val="000000"/>
                <w:kern w:val="0"/>
                <w:sz w:val="24"/>
                <w:szCs w:val="24"/>
                <w:lang w:val="en-US" w:eastAsia="zh-CN" w:bidi="ar-SA"/>
              </w:rPr>
            </w:pPr>
            <w:r>
              <w:rPr>
                <w:rFonts w:hint="eastAsia" w:ascii="Times New Roman" w:hAnsi="Times New Roman" w:eastAsia="宋体" w:cs="Times New Roman"/>
                <w:b/>
                <w:bCs/>
                <w:snapToGrid/>
                <w:color w:val="000000"/>
                <w:kern w:val="0"/>
                <w:sz w:val="24"/>
                <w:szCs w:val="24"/>
                <w:lang w:val="en-US" w:eastAsia="zh-CN" w:bidi="ar-SA"/>
              </w:rPr>
              <w:t>2、建设项目环保可行性结论</w:t>
            </w:r>
          </w:p>
          <w:p w14:paraId="3D3D2B2B">
            <w:pPr>
              <w:keepNext w:val="0"/>
              <w:keepLines w:val="0"/>
              <w:pageBreakBefore w:val="0"/>
              <w:widowControl/>
              <w:kinsoku/>
              <w:wordWrap/>
              <w:overflowPunct/>
              <w:topLinePunct/>
              <w:autoSpaceDE w:val="0"/>
              <w:autoSpaceDN w:val="0"/>
              <w:bidi w:val="0"/>
              <w:adjustRightInd w:val="0"/>
              <w:snapToGrid w:val="0"/>
              <w:spacing w:line="360" w:lineRule="auto"/>
              <w:ind w:left="0" w:right="0" w:firstLine="476" w:firstLineChars="200"/>
              <w:jc w:val="both"/>
              <w:textAlignment w:val="baseline"/>
              <w:rPr>
                <w:rFonts w:ascii="宋体" w:hAnsi="宋体" w:eastAsia="宋体" w:cs="宋体"/>
                <w:spacing w:val="-1"/>
                <w:sz w:val="24"/>
                <w:szCs w:val="24"/>
              </w:rPr>
            </w:pPr>
            <w:r>
              <w:rPr>
                <w:rFonts w:hint="eastAsia" w:ascii="宋体" w:hAnsi="宋体" w:eastAsia="宋体" w:cs="宋体"/>
                <w:spacing w:val="-1"/>
                <w:sz w:val="24"/>
                <w:szCs w:val="24"/>
                <w:lang w:val="en-US" w:eastAsia="zh-CN"/>
              </w:rPr>
              <w:t>颍上绿动风电场项目（110kV升压站电磁环境影响评价）符合国家的法律法规和产业政策，符合区域总体发展规划，工程在建设期和运行期采取有效的预防和减缓措施后，可以满足国家相关环保标准要求。因此，从环境影响角度来看，本项目的建设是可行的。</w:t>
            </w:r>
          </w:p>
          <w:p w14:paraId="43809FBA">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jc w:val="both"/>
              <w:textAlignment w:val="baseline"/>
              <w:rPr>
                <w:rFonts w:hint="default" w:ascii="Times New Roman" w:hAnsi="Times New Roman" w:eastAsia="宋体" w:cs="Times New Roman"/>
                <w:b w:val="0"/>
                <w:bCs w:val="0"/>
                <w:snapToGrid/>
                <w:color w:val="000000"/>
                <w:kern w:val="0"/>
                <w:sz w:val="24"/>
                <w:szCs w:val="24"/>
                <w:lang w:val="en-US" w:eastAsia="zh-CN" w:bidi="ar-SA"/>
              </w:rPr>
            </w:pPr>
          </w:p>
          <w:p w14:paraId="09A6B0E3">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snapToGrid/>
                <w:color w:val="000000"/>
                <w:kern w:val="0"/>
                <w:sz w:val="24"/>
                <w:szCs w:val="24"/>
                <w:lang w:val="en-US" w:eastAsia="zh-CN" w:bidi="ar-SA"/>
              </w:rPr>
            </w:pPr>
          </w:p>
          <w:p w14:paraId="7FCE841C">
            <w:pPr>
              <w:keepNext w:val="0"/>
              <w:keepLines w:val="0"/>
              <w:pageBreakBefore w:val="0"/>
              <w:widowControl/>
              <w:kinsoku/>
              <w:wordWrap/>
              <w:overflowPunct/>
              <w:topLinePunct w:val="0"/>
              <w:autoSpaceDE/>
              <w:autoSpaceDN/>
              <w:bidi w:val="0"/>
              <w:adjustRightInd/>
              <w:snapToGrid/>
              <w:spacing w:line="360" w:lineRule="auto"/>
              <w:jc w:val="both"/>
              <w:textAlignment w:val="auto"/>
              <w:rPr>
                <w:rFonts w:ascii="宋体" w:hAnsi="宋体" w:eastAsia="宋体" w:cs="宋体"/>
                <w:sz w:val="18"/>
                <w:szCs w:val="18"/>
              </w:rPr>
            </w:pPr>
          </w:p>
        </w:tc>
      </w:tr>
      <w:tr w14:paraId="7DA6AB4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525" w:hRule="atLeast"/>
          <w:jc w:val="center"/>
        </w:trPr>
        <w:tc>
          <w:tcPr>
            <w:tcW w:w="5000" w:type="pct"/>
            <w:tcBorders>
              <w:tl2br w:val="nil"/>
              <w:tr2bl w:val="nil"/>
            </w:tcBorders>
            <w:vAlign w:val="top"/>
          </w:tcPr>
          <w:p w14:paraId="78463992">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环境影响评价文件批复意见</w:t>
            </w:r>
          </w:p>
          <w:p w14:paraId="627B26B9">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一、在全面落实《报告表》提出的污染防治措施，做好生态保护及恢复的前提下，该项目建设具有环境可行性，我局原则同意按《报告表》所列项目地点、性质、内容及规模建设。</w:t>
            </w:r>
          </w:p>
          <w:p w14:paraId="6540D48F">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二、项目主要建设内容:本项目110kV升压站选址位于阜阳市颍上县江店孜镇坡杨路东侧，新建一座110kV升压站，站内设有1合容量为100MVA的主变，户外GIS布置，升压站110kV侧采用线路-变压器组接线方式。110kV送出线路工程不在本次评价范围内。</w:t>
            </w:r>
          </w:p>
          <w:p w14:paraId="73E46979">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三、项目建设及运营过程中应重点做好以下工作:</w:t>
            </w:r>
          </w:p>
          <w:p w14:paraId="11AC8CF3">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1.变电站应合理布局，选购低噪声水平的主变设备，并采取有效的隔声、吸声、消声措施，确保运营期变电站厂界噪声排放达标。运营期升压站生活污水经自建污水一体化处理设施处理后达到《城市污水再生利用城市杂用水水质》(GB/T18920-2020)中城市绿化用水标准后回用于升压站厂区绿化。</w:t>
            </w:r>
          </w:p>
          <w:p w14:paraId="2BDB8816">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2.严格落实防治工频电场、工频磁场及无线电干扰等环境保护措施，确保变电站周边居民区的工频电场强度、工频磁感应强度符合《电磁环境控制限值》(GB8702-2014)中相关要求。</w:t>
            </w:r>
          </w:p>
          <w:p w14:paraId="2B8D5261">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3.进一步优化工程设计和施工方案，严格落实生态保护措施加强施工期现场环境管理和生态保护，合理安排施工时间，禁止在生态红线范围等生态环境敏感区内设置施工营地等临时工程落实各项生态保护和污染防治措施，做好植被恢复工作，及时恢复施工道路、牵引场地等临时施工用地的原有土地功能，并及时做好场地平整和植被恢复，严格落实防止水土流失的措施。</w:t>
            </w:r>
          </w:p>
          <w:p w14:paraId="77BE71F5">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4.加强施工期环境保护管理。全面落实《报告表》中大气污染防治措施及大气污染防治工作相关要求，采取围挡施工现场、酒水抑尘等有效措施，避免施工粉尘、道路扬尘等对环境和居民产生影响。落实噪声防治措施，选用低噪声设备，主变压器建造隔声间，并在厂界四周设置实心围墙，厂界噪声需满足《工业企业厂界环境噪声排放标准》(GB12348-2008)2类区排放限值要求。</w:t>
            </w:r>
          </w:p>
          <w:p w14:paraId="38317D7A">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5.妥善处置各类固体废物。施工建筑垃圾要按规定及时清运处理；运营期产生的废润滑油、含油抹布和手套、事故废油、废旧免维护铅酸蓄电池等危险废物须在规定期限内委托有资质的单位处理处置；危废暂存间和事故油池设计及施工应满足《危险废物贮存污染控制标准》中规范要求。生活垃圾分类收集后由环卫部门统一清运处理。</w:t>
            </w:r>
          </w:p>
          <w:p w14:paraId="429C2388">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四、项目建设应严格执行环境保护设施与主体工程同时设计，同时施工、同时投入使用的环境保护“三同时”制度。项目竣工后，建设单位应按《建设项目竣工环境保护验收暂行办法》等规定，及时自行开展竣工环境保护验收。</w:t>
            </w:r>
          </w:p>
          <w:p w14:paraId="30CF19BF">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五、项目的性质、规模、地点、采用的生产工艺或者防治污染、防止生态破坏的措施发生重大变动，你公司应当重新报批项目的环境影响评价文件。</w:t>
            </w:r>
          </w:p>
          <w:p w14:paraId="3E5F2B0A">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t>六、你公司“三同时”制度落实情况和事中事后环境保护监督管理工作，由颖上县生态环境分局具体负责，你公司应加强环境管理，按规定接受各级生态环境主管部门的日常监督检查。</w:t>
            </w:r>
          </w:p>
          <w:p w14:paraId="32103B57">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b/>
                <w:bCs/>
                <w:sz w:val="18"/>
                <w:szCs w:val="18"/>
                <w:lang w:eastAsia="zh-CN"/>
              </w:rPr>
            </w:pPr>
          </w:p>
          <w:p w14:paraId="2A56629E">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b/>
                <w:bCs/>
                <w:sz w:val="18"/>
                <w:szCs w:val="18"/>
                <w:lang w:eastAsia="zh-CN"/>
              </w:rPr>
            </w:pPr>
          </w:p>
          <w:p w14:paraId="3F4AC74D">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b/>
                <w:bCs/>
                <w:sz w:val="18"/>
                <w:szCs w:val="18"/>
                <w:lang w:eastAsia="zh-CN"/>
              </w:rPr>
            </w:pPr>
          </w:p>
          <w:p w14:paraId="75710B68">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b/>
                <w:bCs/>
                <w:sz w:val="18"/>
                <w:szCs w:val="18"/>
                <w:lang w:eastAsia="zh-CN"/>
              </w:rPr>
            </w:pPr>
          </w:p>
          <w:p w14:paraId="79B8D9D4">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b/>
                <w:bCs/>
                <w:sz w:val="18"/>
                <w:szCs w:val="18"/>
                <w:lang w:eastAsia="zh-CN"/>
              </w:rPr>
            </w:pPr>
          </w:p>
          <w:p w14:paraId="1F42ACA5">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b/>
                <w:bCs/>
                <w:sz w:val="18"/>
                <w:szCs w:val="18"/>
                <w:lang w:eastAsia="zh-CN"/>
              </w:rPr>
            </w:pPr>
          </w:p>
          <w:p w14:paraId="5973B145">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b/>
                <w:bCs/>
                <w:sz w:val="18"/>
                <w:szCs w:val="18"/>
                <w:lang w:eastAsia="zh-CN"/>
              </w:rPr>
            </w:pPr>
          </w:p>
          <w:p w14:paraId="757F9DDA">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b/>
                <w:bCs/>
                <w:sz w:val="18"/>
                <w:szCs w:val="18"/>
                <w:lang w:eastAsia="zh-CN"/>
              </w:rPr>
            </w:pPr>
          </w:p>
          <w:p w14:paraId="22BDD23E">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b/>
                <w:bCs/>
                <w:sz w:val="18"/>
                <w:szCs w:val="18"/>
                <w:lang w:eastAsia="zh-CN"/>
              </w:rPr>
            </w:pPr>
          </w:p>
          <w:p w14:paraId="598FD69F">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b/>
                <w:bCs/>
                <w:sz w:val="18"/>
                <w:szCs w:val="18"/>
                <w:lang w:eastAsia="zh-CN"/>
              </w:rPr>
            </w:pPr>
          </w:p>
          <w:p w14:paraId="03E2FD78">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b/>
                <w:bCs/>
                <w:sz w:val="18"/>
                <w:szCs w:val="18"/>
                <w:lang w:eastAsia="zh-CN"/>
              </w:rPr>
            </w:pPr>
          </w:p>
          <w:p w14:paraId="770EA269">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b/>
                <w:bCs/>
                <w:sz w:val="18"/>
                <w:szCs w:val="18"/>
                <w:lang w:eastAsia="zh-CN"/>
              </w:rPr>
            </w:pPr>
          </w:p>
          <w:p w14:paraId="6629BE88">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b/>
                <w:bCs/>
                <w:sz w:val="18"/>
                <w:szCs w:val="18"/>
                <w:lang w:eastAsia="zh-CN"/>
              </w:rPr>
            </w:pPr>
          </w:p>
          <w:p w14:paraId="310150F9">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b/>
                <w:bCs/>
                <w:sz w:val="18"/>
                <w:szCs w:val="18"/>
                <w:lang w:eastAsia="zh-CN"/>
              </w:rPr>
            </w:pPr>
          </w:p>
          <w:p w14:paraId="7548BAB1">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b/>
                <w:bCs/>
                <w:sz w:val="18"/>
                <w:szCs w:val="18"/>
                <w:lang w:eastAsia="zh-CN"/>
              </w:rPr>
            </w:pPr>
          </w:p>
          <w:p w14:paraId="06E378F3">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b/>
                <w:bCs/>
                <w:sz w:val="18"/>
                <w:szCs w:val="18"/>
                <w:lang w:eastAsia="zh-CN"/>
              </w:rPr>
            </w:pPr>
          </w:p>
          <w:p w14:paraId="059C110C">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b/>
                <w:bCs/>
                <w:sz w:val="18"/>
                <w:szCs w:val="18"/>
                <w:lang w:eastAsia="zh-CN"/>
              </w:rPr>
            </w:pPr>
          </w:p>
          <w:p w14:paraId="1D1988A2">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b/>
                <w:bCs/>
                <w:sz w:val="18"/>
                <w:szCs w:val="18"/>
                <w:lang w:eastAsia="zh-CN"/>
              </w:rPr>
            </w:pPr>
          </w:p>
          <w:p w14:paraId="157F895D">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b/>
                <w:bCs/>
                <w:sz w:val="18"/>
                <w:szCs w:val="18"/>
                <w:lang w:eastAsia="zh-CN"/>
              </w:rPr>
            </w:pPr>
          </w:p>
          <w:p w14:paraId="7F952F52">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b/>
                <w:bCs/>
                <w:sz w:val="18"/>
                <w:szCs w:val="18"/>
                <w:lang w:eastAsia="zh-CN"/>
              </w:rPr>
            </w:pPr>
          </w:p>
          <w:p w14:paraId="6CA56127">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b/>
                <w:bCs/>
                <w:sz w:val="18"/>
                <w:szCs w:val="18"/>
                <w:lang w:eastAsia="zh-CN"/>
              </w:rPr>
            </w:pPr>
          </w:p>
          <w:p w14:paraId="4C043B29">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b/>
                <w:bCs/>
                <w:sz w:val="18"/>
                <w:szCs w:val="18"/>
                <w:lang w:eastAsia="zh-CN"/>
              </w:rPr>
            </w:pPr>
          </w:p>
          <w:p w14:paraId="6A5E6E8C">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b/>
                <w:bCs/>
                <w:sz w:val="18"/>
                <w:szCs w:val="18"/>
                <w:lang w:eastAsia="zh-CN"/>
              </w:rPr>
            </w:pPr>
          </w:p>
          <w:p w14:paraId="34D65D0A">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b/>
                <w:bCs/>
                <w:sz w:val="18"/>
                <w:szCs w:val="18"/>
                <w:lang w:eastAsia="zh-CN"/>
              </w:rPr>
            </w:pPr>
          </w:p>
          <w:p w14:paraId="27C67434">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b/>
                <w:bCs/>
                <w:sz w:val="18"/>
                <w:szCs w:val="18"/>
                <w:lang w:eastAsia="zh-CN"/>
              </w:rPr>
            </w:pPr>
          </w:p>
        </w:tc>
      </w:tr>
    </w:tbl>
    <w:p w14:paraId="4A1349EB">
      <w:pPr>
        <w:spacing w:line="142" w:lineRule="exact"/>
        <w:rPr>
          <w:rFonts w:ascii="Arial"/>
          <w:sz w:val="12"/>
        </w:rPr>
      </w:pPr>
    </w:p>
    <w:p w14:paraId="56A10A70">
      <w:pPr>
        <w:sectPr>
          <w:headerReference r:id="rId10" w:type="default"/>
          <w:footerReference r:id="rId11" w:type="default"/>
          <w:pgSz w:w="11905" w:h="16838"/>
          <w:pgMar w:top="1440" w:right="1803" w:bottom="1440" w:left="1803" w:header="1457" w:footer="992" w:gutter="0"/>
          <w:pgBorders>
            <w:top w:val="none" w:sz="0" w:space="0"/>
            <w:left w:val="none" w:sz="0" w:space="0"/>
            <w:bottom w:val="none" w:sz="0" w:space="0"/>
            <w:right w:val="none" w:sz="0" w:space="0"/>
          </w:pgBorders>
          <w:pgNumType w:fmt="decimal"/>
          <w:cols w:space="0" w:num="1"/>
          <w:rtlGutter w:val="0"/>
          <w:docGrid w:linePitch="0" w:charSpace="0"/>
        </w:sectPr>
      </w:pPr>
    </w:p>
    <w:p w14:paraId="6031FCA4">
      <w:pPr>
        <w:widowControl/>
        <w:kinsoku/>
        <w:autoSpaceDE/>
        <w:autoSpaceDN/>
        <w:adjustRightInd/>
        <w:snapToGrid/>
        <w:spacing w:line="240" w:lineRule="auto"/>
        <w:jc w:val="center"/>
        <w:textAlignment w:val="auto"/>
        <w:rPr>
          <w:rFonts w:hint="default" w:ascii="Times New Roman" w:hAnsi="Times New Roman" w:eastAsia="黑体" w:cs="Times New Roman"/>
          <w:b/>
          <w:bCs/>
          <w:snapToGrid/>
          <w:color w:val="000000"/>
          <w:kern w:val="0"/>
          <w:sz w:val="28"/>
          <w:szCs w:val="28"/>
          <w:lang w:val="en-US" w:eastAsia="zh-CN" w:bidi="ar-SA"/>
        </w:rPr>
      </w:pPr>
      <w:r>
        <w:rPr>
          <w:rFonts w:hint="default" w:ascii="Times New Roman" w:hAnsi="Times New Roman" w:eastAsia="黑体" w:cs="Times New Roman"/>
          <w:b/>
          <w:bCs/>
          <w:snapToGrid/>
          <w:color w:val="000000"/>
          <w:kern w:val="0"/>
          <w:sz w:val="28"/>
          <w:szCs w:val="28"/>
          <w:lang w:val="en-US" w:eastAsia="zh-CN" w:bidi="ar-SA"/>
        </w:rPr>
        <w:t>表6环境保护设施、环境保护措施落实情况（附照片）</w:t>
      </w:r>
    </w:p>
    <w:p w14:paraId="303006AB">
      <w:pPr>
        <w:spacing w:line="89" w:lineRule="exact"/>
      </w:pPr>
    </w:p>
    <w:tbl>
      <w:tblPr>
        <w:tblStyle w:val="16"/>
        <w:tblpPr w:leftFromText="180" w:rightFromText="180" w:vertAnchor="text" w:tblpXSpec="center" w:tblpY="1"/>
        <w:tblOverlap w:val="never"/>
        <w:tblW w:w="5070" w:type="pct"/>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autofit"/>
        <w:tblCellMar>
          <w:top w:w="0" w:type="dxa"/>
          <w:left w:w="0" w:type="dxa"/>
          <w:bottom w:w="0" w:type="dxa"/>
          <w:right w:w="0" w:type="dxa"/>
        </w:tblCellMar>
      </w:tblPr>
      <w:tblGrid>
        <w:gridCol w:w="612"/>
        <w:gridCol w:w="761"/>
        <w:gridCol w:w="3186"/>
        <w:gridCol w:w="3887"/>
      </w:tblGrid>
      <w:tr w14:paraId="4D6ECBDE">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0" w:hRule="atLeast"/>
          <w:jc w:val="center"/>
        </w:trPr>
        <w:tc>
          <w:tcPr>
            <w:tcW w:w="362" w:type="pct"/>
            <w:tcBorders>
              <w:tl2br w:val="nil"/>
              <w:tr2bl w:val="nil"/>
            </w:tcBorders>
            <w:vAlign w:val="center"/>
          </w:tcPr>
          <w:p w14:paraId="1DE117D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阶段</w:t>
            </w:r>
          </w:p>
        </w:tc>
        <w:tc>
          <w:tcPr>
            <w:tcW w:w="450" w:type="pct"/>
            <w:tcBorders>
              <w:tl2br w:val="nil"/>
              <w:tr2bl w:val="nil"/>
            </w:tcBorders>
            <w:vAlign w:val="center"/>
          </w:tcPr>
          <w:p w14:paraId="46B8E2F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影响</w:t>
            </w:r>
          </w:p>
          <w:p w14:paraId="3295BE9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类别</w:t>
            </w:r>
          </w:p>
        </w:tc>
        <w:tc>
          <w:tcPr>
            <w:tcW w:w="1885" w:type="pct"/>
            <w:tcBorders>
              <w:tl2br w:val="nil"/>
              <w:tr2bl w:val="nil"/>
            </w:tcBorders>
            <w:vAlign w:val="center"/>
          </w:tcPr>
          <w:p w14:paraId="2C12D27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环境影响报告表及批复文件中要求的环境保护设施、环境保护措施</w:t>
            </w:r>
          </w:p>
        </w:tc>
        <w:tc>
          <w:tcPr>
            <w:tcW w:w="2300" w:type="pct"/>
            <w:tcBorders>
              <w:tl2br w:val="nil"/>
              <w:tr2bl w:val="nil"/>
            </w:tcBorders>
            <w:vAlign w:val="center"/>
          </w:tcPr>
          <w:p w14:paraId="79017E4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环境保护设施、环境保护措施落实情况，相关要求未落实的原因</w:t>
            </w:r>
          </w:p>
        </w:tc>
      </w:tr>
      <w:tr w14:paraId="26FD142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0" w:hRule="atLeast"/>
          <w:jc w:val="center"/>
        </w:trPr>
        <w:tc>
          <w:tcPr>
            <w:tcW w:w="362" w:type="pct"/>
            <w:vMerge w:val="restart"/>
            <w:tcBorders>
              <w:tl2br w:val="nil"/>
              <w:tr2bl w:val="nil"/>
            </w:tcBorders>
            <w:vAlign w:val="center"/>
          </w:tcPr>
          <w:p w14:paraId="537D9D4C">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b/>
                <w:bCs/>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前</w:t>
            </w:r>
            <w:r>
              <w:rPr>
                <w:rFonts w:hint="default" w:ascii="Times New Roman" w:hAnsi="Times New Roman" w:eastAsia="宋体" w:cs="Times New Roman"/>
                <w:snapToGrid/>
                <w:color w:val="000000"/>
                <w:kern w:val="0"/>
                <w:sz w:val="24"/>
                <w:szCs w:val="24"/>
                <w:lang w:val="en-US" w:eastAsia="zh-CN" w:bidi="ar-SA"/>
              </w:rPr>
              <w:t>期</w:t>
            </w:r>
          </w:p>
        </w:tc>
        <w:tc>
          <w:tcPr>
            <w:tcW w:w="450" w:type="pct"/>
            <w:tcBorders>
              <w:tl2br w:val="nil"/>
              <w:tr2bl w:val="nil"/>
            </w:tcBorders>
            <w:vAlign w:val="center"/>
          </w:tcPr>
          <w:p w14:paraId="618947F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生态</w:t>
            </w:r>
          </w:p>
          <w:p w14:paraId="5A0388C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影响</w:t>
            </w:r>
          </w:p>
        </w:tc>
        <w:tc>
          <w:tcPr>
            <w:tcW w:w="1885" w:type="pct"/>
            <w:tcBorders>
              <w:tl2br w:val="nil"/>
              <w:tr2bl w:val="nil"/>
            </w:tcBorders>
            <w:vAlign w:val="center"/>
          </w:tcPr>
          <w:p w14:paraId="2012776F">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b w:val="0"/>
                <w:bCs w:val="0"/>
                <w:snapToGrid/>
                <w:color w:val="000000"/>
                <w:kern w:val="0"/>
                <w:sz w:val="21"/>
                <w:szCs w:val="21"/>
                <w:lang w:val="en-US" w:eastAsia="zh-CN" w:bidi="ar-SA"/>
              </w:rPr>
            </w:pPr>
            <w:r>
              <w:rPr>
                <w:rFonts w:hint="default" w:ascii="Times New Roman" w:hAnsi="Times New Roman" w:eastAsia="宋体" w:cs="Times New Roman"/>
                <w:b w:val="0"/>
                <w:bCs w:val="0"/>
                <w:snapToGrid/>
                <w:color w:val="000000"/>
                <w:kern w:val="0"/>
                <w:sz w:val="21"/>
                <w:szCs w:val="21"/>
                <w:lang w:val="en-US" w:eastAsia="zh-CN" w:bidi="ar-SA"/>
              </w:rPr>
              <w:t>（1）工程选址避开重要生态功能保护区。</w:t>
            </w:r>
          </w:p>
          <w:p w14:paraId="3A05A4A7">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val="0"/>
                <w:bCs w:val="0"/>
                <w:snapToGrid/>
                <w:color w:val="000000"/>
                <w:kern w:val="0"/>
                <w:sz w:val="21"/>
                <w:szCs w:val="21"/>
                <w:lang w:val="en-US" w:eastAsia="zh-CN" w:bidi="ar-SA"/>
              </w:rPr>
              <w:t>（2）项目建设应符合当地规划要求，严格按照规划和城建部门的要求进行建设</w:t>
            </w:r>
          </w:p>
        </w:tc>
        <w:tc>
          <w:tcPr>
            <w:tcW w:w="2300" w:type="pct"/>
            <w:tcBorders>
              <w:tl2br w:val="nil"/>
              <w:tr2bl w:val="nil"/>
            </w:tcBorders>
            <w:vAlign w:val="center"/>
          </w:tcPr>
          <w:p w14:paraId="6CA1ADF3">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Times New Roman"/>
                <w:snapToGrid/>
                <w:color w:val="000000"/>
                <w:kern w:val="0"/>
                <w:sz w:val="21"/>
                <w:szCs w:val="21"/>
                <w:vertAlign w:val="baseline"/>
                <w:lang w:val="en-US" w:eastAsia="zh-CN" w:bidi="ar-SA"/>
              </w:rPr>
            </w:pPr>
            <w:r>
              <w:rPr>
                <w:rFonts w:hint="eastAsia" w:ascii="Times New Roman" w:hAnsi="Times New Roman" w:eastAsia="宋体" w:cs="Times New Roman"/>
                <w:snapToGrid/>
                <w:color w:val="000000"/>
                <w:kern w:val="0"/>
                <w:sz w:val="21"/>
                <w:szCs w:val="21"/>
                <w:vertAlign w:val="baseline"/>
                <w:lang w:val="en-US" w:eastAsia="zh-CN" w:bidi="ar-SA"/>
              </w:rPr>
              <w:t>已落实。</w:t>
            </w:r>
          </w:p>
          <w:p w14:paraId="2B4AB6F9">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Times New Roman" w:hAnsi="Times New Roman" w:eastAsia="宋体" w:cs="Times New Roman"/>
                <w:snapToGrid/>
                <w:color w:val="000000"/>
                <w:kern w:val="0"/>
                <w:sz w:val="21"/>
                <w:szCs w:val="21"/>
                <w:vertAlign w:val="baseline"/>
                <w:lang w:val="en-US" w:eastAsia="zh-CN" w:bidi="ar-SA"/>
              </w:rPr>
            </w:pPr>
            <w:r>
              <w:rPr>
                <w:rFonts w:hint="eastAsia" w:ascii="Times New Roman" w:hAnsi="Times New Roman" w:eastAsia="宋体" w:cs="Times New Roman"/>
                <w:snapToGrid/>
                <w:color w:val="000000"/>
                <w:kern w:val="0"/>
                <w:sz w:val="21"/>
                <w:szCs w:val="21"/>
                <w:vertAlign w:val="baseline"/>
                <w:lang w:val="en-US" w:eastAsia="zh-CN" w:bidi="ar-SA"/>
              </w:rPr>
              <w:t>（1）本工程不涉及生态红线、自然保护区、风景名胜区、湿地保护区等自然保护地。</w:t>
            </w:r>
          </w:p>
          <w:p w14:paraId="4A7A234E">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b/>
                <w:bCs/>
                <w:snapToGrid/>
                <w:color w:val="000000"/>
                <w:kern w:val="0"/>
                <w:sz w:val="24"/>
                <w:szCs w:val="24"/>
                <w:lang w:val="en-US" w:eastAsia="zh-CN" w:bidi="ar-SA"/>
              </w:rPr>
            </w:pPr>
            <w:r>
              <w:rPr>
                <w:rFonts w:hint="eastAsia" w:ascii="Times New Roman" w:hAnsi="Times New Roman" w:eastAsia="宋体" w:cs="Times New Roman"/>
                <w:snapToGrid/>
                <w:color w:val="000000"/>
                <w:kern w:val="0"/>
                <w:sz w:val="21"/>
                <w:szCs w:val="21"/>
                <w:vertAlign w:val="baseline"/>
                <w:lang w:val="en-US" w:eastAsia="zh-CN" w:bidi="ar-SA"/>
              </w:rPr>
              <w:t>（2）本项目位于阜阳市颍上县，在选址阶段，已经向阜阳市颍上县人民政府、阜阳市颍上县自然资源和规划局及阜阳市颍上县生态环境分局等部门征询意见，按要求建设</w:t>
            </w:r>
          </w:p>
        </w:tc>
      </w:tr>
      <w:tr w14:paraId="13903DD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0" w:hRule="atLeast"/>
          <w:jc w:val="center"/>
        </w:trPr>
        <w:tc>
          <w:tcPr>
            <w:tcW w:w="362" w:type="pct"/>
            <w:vMerge w:val="continue"/>
            <w:tcBorders>
              <w:tl2br w:val="nil"/>
              <w:tr2bl w:val="nil"/>
            </w:tcBorders>
            <w:textDirection w:val="tbRlV"/>
            <w:vAlign w:val="center"/>
          </w:tcPr>
          <w:p w14:paraId="1E2A33E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snapToGrid/>
                <w:color w:val="000000"/>
                <w:kern w:val="0"/>
                <w:sz w:val="24"/>
                <w:szCs w:val="24"/>
                <w:lang w:val="en-US" w:eastAsia="zh-CN" w:bidi="ar-SA"/>
              </w:rPr>
            </w:pPr>
          </w:p>
        </w:tc>
        <w:tc>
          <w:tcPr>
            <w:tcW w:w="450" w:type="pct"/>
            <w:tcBorders>
              <w:tl2br w:val="nil"/>
              <w:tr2bl w:val="nil"/>
            </w:tcBorders>
            <w:vAlign w:val="center"/>
          </w:tcPr>
          <w:p w14:paraId="0D24C47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污染</w:t>
            </w:r>
          </w:p>
          <w:p w14:paraId="4D01D36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影响</w:t>
            </w:r>
          </w:p>
        </w:tc>
        <w:tc>
          <w:tcPr>
            <w:tcW w:w="1885" w:type="pct"/>
            <w:tcBorders>
              <w:tl2br w:val="nil"/>
              <w:tr2bl w:val="nil"/>
            </w:tcBorders>
            <w:vAlign w:val="center"/>
          </w:tcPr>
          <w:p w14:paraId="17D5CF75">
            <w:pPr>
              <w:keepNext w:val="0"/>
              <w:keepLines w:val="0"/>
              <w:widowControl/>
              <w:suppressLineNumbers w:val="0"/>
              <w:jc w:val="center"/>
              <w:rPr>
                <w:rFonts w:hint="default" w:ascii="Times New Roman" w:hAnsi="Times New Roman" w:eastAsia="宋体" w:cs="Times New Roman"/>
                <w:b/>
                <w:bCs/>
                <w:snapToGrid/>
                <w:color w:val="000000"/>
                <w:kern w:val="0"/>
                <w:sz w:val="24"/>
                <w:szCs w:val="24"/>
                <w:lang w:val="en-US" w:eastAsia="zh-CN" w:bidi="ar-SA"/>
              </w:rPr>
            </w:pPr>
            <w:r>
              <w:rPr>
                <w:rFonts w:hint="eastAsia" w:ascii="宋体" w:hAnsi="宋体" w:eastAsia="宋体" w:cs="宋体"/>
                <w:snapToGrid w:val="0"/>
                <w:color w:val="000000"/>
                <w:kern w:val="0"/>
                <w:sz w:val="20"/>
                <w:szCs w:val="20"/>
                <w:lang w:val="en-US" w:eastAsia="zh-CN" w:bidi="ar"/>
              </w:rPr>
              <w:t>-</w:t>
            </w:r>
          </w:p>
        </w:tc>
        <w:tc>
          <w:tcPr>
            <w:tcW w:w="2300" w:type="pct"/>
            <w:tcBorders>
              <w:tl2br w:val="nil"/>
              <w:tr2bl w:val="nil"/>
            </w:tcBorders>
            <w:vAlign w:val="center"/>
          </w:tcPr>
          <w:p w14:paraId="2F3BA82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snapToGrid/>
                <w:color w:val="000000"/>
                <w:kern w:val="0"/>
                <w:sz w:val="24"/>
                <w:szCs w:val="24"/>
                <w:lang w:val="en-US" w:eastAsia="zh-CN" w:bidi="ar-SA"/>
              </w:rPr>
            </w:pPr>
            <w:r>
              <w:rPr>
                <w:rFonts w:hint="eastAsia" w:ascii="宋体" w:hAnsi="宋体" w:eastAsia="宋体" w:cs="宋体"/>
                <w:snapToGrid w:val="0"/>
                <w:color w:val="000000"/>
                <w:kern w:val="0"/>
                <w:sz w:val="20"/>
                <w:szCs w:val="20"/>
                <w:lang w:val="en-US" w:eastAsia="zh-CN" w:bidi="ar"/>
              </w:rPr>
              <w:t>-</w:t>
            </w:r>
          </w:p>
        </w:tc>
      </w:tr>
      <w:tr w14:paraId="351A708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0" w:hRule="atLeast"/>
          <w:jc w:val="center"/>
        </w:trPr>
        <w:tc>
          <w:tcPr>
            <w:tcW w:w="362" w:type="pct"/>
            <w:vMerge w:val="restart"/>
            <w:tcBorders>
              <w:tl2br w:val="nil"/>
              <w:tr2bl w:val="nil"/>
            </w:tcBorders>
            <w:vAlign w:val="center"/>
          </w:tcPr>
          <w:p w14:paraId="115D71D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施工期</w:t>
            </w:r>
          </w:p>
        </w:tc>
        <w:tc>
          <w:tcPr>
            <w:tcW w:w="450" w:type="pct"/>
            <w:tcBorders>
              <w:tl2br w:val="nil"/>
              <w:tr2bl w:val="nil"/>
            </w:tcBorders>
            <w:vAlign w:val="center"/>
          </w:tcPr>
          <w:p w14:paraId="42E86BC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生态</w:t>
            </w:r>
          </w:p>
          <w:p w14:paraId="6A29063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影响</w:t>
            </w:r>
          </w:p>
        </w:tc>
        <w:tc>
          <w:tcPr>
            <w:tcW w:w="1885" w:type="pct"/>
            <w:tcBorders>
              <w:tl2br w:val="nil"/>
              <w:tr2bl w:val="nil"/>
            </w:tcBorders>
            <w:vAlign w:val="center"/>
          </w:tcPr>
          <w:p w14:paraId="2265CD3E">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default" w:ascii="Times New Roman" w:hAnsi="Times New Roman" w:eastAsia="宋体" w:cs="Times New Roman"/>
                <w:snapToGrid/>
                <w:color w:val="000000"/>
                <w:kern w:val="0"/>
                <w:sz w:val="21"/>
                <w:szCs w:val="21"/>
                <w:vertAlign w:val="baseline"/>
                <w:lang w:val="en-US" w:eastAsia="zh-CN" w:bidi="ar-SA"/>
              </w:rPr>
              <w:t>1</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施工结束后及时恢复植被。</w:t>
            </w:r>
          </w:p>
          <w:p w14:paraId="52CA9FB8">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default" w:ascii="Times New Roman" w:hAnsi="Times New Roman" w:eastAsia="宋体" w:cs="Times New Roman"/>
                <w:snapToGrid/>
                <w:color w:val="000000"/>
                <w:kern w:val="0"/>
                <w:sz w:val="21"/>
                <w:szCs w:val="21"/>
                <w:vertAlign w:val="baseline"/>
                <w:lang w:val="en-US" w:eastAsia="zh-CN" w:bidi="ar-SA"/>
              </w:rPr>
              <w:t>2</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施工期应尽可能避开雨季</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减少占地面积</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减少了对植被破坏</w:t>
            </w:r>
          </w:p>
        </w:tc>
        <w:tc>
          <w:tcPr>
            <w:tcW w:w="2300" w:type="pct"/>
            <w:tcBorders>
              <w:tl2br w:val="nil"/>
              <w:tr2bl w:val="nil"/>
            </w:tcBorders>
            <w:vAlign w:val="center"/>
          </w:tcPr>
          <w:p w14:paraId="5DB03E86">
            <w:pPr>
              <w:keepNext w:val="0"/>
              <w:keepLines w:val="0"/>
              <w:pageBreakBefore w:val="0"/>
              <w:widowControl/>
              <w:kinsoku/>
              <w:wordWrap/>
              <w:overflowPunct/>
              <w:topLinePunct w:val="0"/>
              <w:autoSpaceDE/>
              <w:autoSpaceDN/>
              <w:bidi w:val="0"/>
              <w:adjustRightInd/>
              <w:snapToGrid/>
              <w:spacing w:line="240" w:lineRule="auto"/>
              <w:ind w:firstLine="210" w:firstLineChars="100"/>
              <w:jc w:val="both"/>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default" w:ascii="Times New Roman" w:hAnsi="Times New Roman" w:eastAsia="宋体" w:cs="Times New Roman"/>
                <w:snapToGrid/>
                <w:color w:val="000000"/>
                <w:kern w:val="0"/>
                <w:sz w:val="21"/>
                <w:szCs w:val="21"/>
                <w:vertAlign w:val="baseline"/>
                <w:lang w:val="en-US" w:eastAsia="zh-CN" w:bidi="ar-SA"/>
              </w:rPr>
              <w:t>已落实。</w:t>
            </w:r>
          </w:p>
          <w:p w14:paraId="4CF44DFB">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default" w:ascii="Times New Roman" w:hAnsi="Times New Roman" w:eastAsia="宋体" w:cs="Times New Roman"/>
                <w:snapToGrid/>
                <w:color w:val="000000"/>
                <w:kern w:val="0"/>
                <w:sz w:val="21"/>
                <w:szCs w:val="21"/>
                <w:vertAlign w:val="baseline"/>
                <w:lang w:val="en-US" w:eastAsia="zh-CN" w:bidi="ar-SA"/>
              </w:rPr>
              <w:t>1</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施工结束后对工程临时占地、</w:t>
            </w:r>
            <w:r>
              <w:rPr>
                <w:rFonts w:hint="eastAsia" w:ascii="Times New Roman" w:hAnsi="Times New Roman" w:eastAsia="宋体" w:cs="Times New Roman"/>
                <w:snapToGrid/>
                <w:color w:val="000000"/>
                <w:kern w:val="0"/>
                <w:sz w:val="21"/>
                <w:szCs w:val="21"/>
                <w:vertAlign w:val="baseline"/>
                <w:lang w:val="en-US" w:eastAsia="zh-CN" w:bidi="ar-SA"/>
              </w:rPr>
              <w:t>站</w:t>
            </w:r>
            <w:r>
              <w:rPr>
                <w:rFonts w:hint="default" w:ascii="Times New Roman" w:hAnsi="Times New Roman" w:eastAsia="宋体" w:cs="Times New Roman"/>
                <w:snapToGrid/>
                <w:color w:val="000000"/>
                <w:kern w:val="0"/>
                <w:sz w:val="21"/>
                <w:szCs w:val="21"/>
                <w:vertAlign w:val="baseline"/>
                <w:lang w:val="en-US" w:eastAsia="zh-CN" w:bidi="ar-SA"/>
              </w:rPr>
              <w:t>区周围进行了恢复。</w:t>
            </w:r>
          </w:p>
          <w:p w14:paraId="30E35955">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default" w:ascii="Times New Roman" w:hAnsi="Times New Roman" w:eastAsia="宋体" w:cs="Times New Roman"/>
                <w:snapToGrid/>
                <w:color w:val="000000"/>
                <w:kern w:val="0"/>
                <w:sz w:val="21"/>
                <w:szCs w:val="21"/>
                <w:vertAlign w:val="baseline"/>
                <w:lang w:val="en-US" w:eastAsia="zh-CN" w:bidi="ar-SA"/>
              </w:rPr>
              <w:t>2</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合理的安排了施工时间</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因地制宜的选择塔基</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优化了基础</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减少了对植被的破坏</w:t>
            </w:r>
          </w:p>
        </w:tc>
      </w:tr>
      <w:tr w14:paraId="58242B1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0" w:hRule="atLeast"/>
          <w:jc w:val="center"/>
        </w:trPr>
        <w:tc>
          <w:tcPr>
            <w:tcW w:w="362" w:type="pct"/>
            <w:vMerge w:val="continue"/>
            <w:tcBorders>
              <w:tl2br w:val="nil"/>
              <w:tr2bl w:val="nil"/>
            </w:tcBorders>
            <w:vAlign w:val="center"/>
          </w:tcPr>
          <w:p w14:paraId="12504D2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p>
        </w:tc>
        <w:tc>
          <w:tcPr>
            <w:tcW w:w="450" w:type="pct"/>
            <w:tcBorders>
              <w:tl2br w:val="nil"/>
              <w:tr2bl w:val="nil"/>
            </w:tcBorders>
            <w:vAlign w:val="center"/>
          </w:tcPr>
          <w:p w14:paraId="2DCC505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污染</w:t>
            </w:r>
          </w:p>
          <w:p w14:paraId="02A0009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影响</w:t>
            </w:r>
          </w:p>
        </w:tc>
        <w:tc>
          <w:tcPr>
            <w:tcW w:w="1885" w:type="pct"/>
            <w:tcBorders>
              <w:tl2br w:val="nil"/>
              <w:tr2bl w:val="nil"/>
            </w:tcBorders>
            <w:vAlign w:val="center"/>
          </w:tcPr>
          <w:p w14:paraId="0FD04E14">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default" w:ascii="Times New Roman" w:hAnsi="Times New Roman" w:eastAsia="宋体" w:cs="Times New Roman"/>
                <w:snapToGrid/>
                <w:color w:val="000000"/>
                <w:kern w:val="0"/>
                <w:sz w:val="21"/>
                <w:szCs w:val="21"/>
                <w:vertAlign w:val="baseline"/>
                <w:lang w:val="en-US" w:eastAsia="zh-CN" w:bidi="ar-SA"/>
              </w:rPr>
              <w:t>1</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项目施工过程应严格执行《建筑施工场界噪声限值》</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GB12523-90</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同时选取低噪声机械设备和合理安排施工时间及场所</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将其对周围环境的影响减至最低水平。</w:t>
            </w:r>
          </w:p>
          <w:p w14:paraId="4B8DEC45">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default" w:ascii="Times New Roman" w:hAnsi="Times New Roman" w:eastAsia="宋体" w:cs="Times New Roman"/>
                <w:snapToGrid/>
                <w:color w:val="000000"/>
                <w:kern w:val="0"/>
                <w:sz w:val="21"/>
                <w:szCs w:val="21"/>
                <w:vertAlign w:val="baseline"/>
                <w:lang w:val="en-US" w:eastAsia="zh-CN" w:bidi="ar-SA"/>
              </w:rPr>
              <w:t>2</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工程施工期间</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施工单位应对工地污水妥善处理</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在工地适当位置设置简易的污水沉淀池</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防止水土流失</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严禁工地污水乱排、乱流。做到文明施工。</w:t>
            </w:r>
          </w:p>
          <w:p w14:paraId="58D8A167">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default" w:ascii="Times New Roman" w:hAnsi="Times New Roman" w:eastAsia="宋体" w:cs="Times New Roman"/>
                <w:snapToGrid/>
                <w:color w:val="000000"/>
                <w:kern w:val="0"/>
                <w:sz w:val="21"/>
                <w:szCs w:val="21"/>
                <w:vertAlign w:val="baseline"/>
                <w:lang w:val="en-US" w:eastAsia="zh-CN" w:bidi="ar-SA"/>
              </w:rPr>
              <w:t>3</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必须采取措施避免或减低尘土的影响程度。在建筑工地应在建筑物的周围设置一定的围闭措施拦截尘土的飘散</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在进行有可能产生尘土的施工工序时预先做好防范措施如喷洒水等</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增加拦截粉尘的效果。</w:t>
            </w:r>
          </w:p>
          <w:p w14:paraId="7BD6BF6E">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default" w:ascii="Times New Roman" w:hAnsi="Times New Roman" w:eastAsia="宋体" w:cs="Times New Roman"/>
                <w:snapToGrid/>
                <w:color w:val="000000"/>
                <w:kern w:val="0"/>
                <w:sz w:val="21"/>
                <w:szCs w:val="21"/>
                <w:vertAlign w:val="baseline"/>
                <w:lang w:val="en-US" w:eastAsia="zh-CN" w:bidi="ar-SA"/>
              </w:rPr>
              <w:t>4</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施工产生的生活垃圾及其他固体废弃物应定点堆放。</w:t>
            </w:r>
          </w:p>
          <w:p w14:paraId="7408AC23">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default" w:ascii="Times New Roman" w:hAnsi="Times New Roman" w:eastAsia="宋体" w:cs="Times New Roman"/>
                <w:snapToGrid/>
                <w:color w:val="000000"/>
                <w:kern w:val="0"/>
                <w:sz w:val="21"/>
                <w:szCs w:val="21"/>
                <w:vertAlign w:val="baseline"/>
                <w:lang w:val="en-US" w:eastAsia="zh-CN" w:bidi="ar-SA"/>
              </w:rPr>
              <w:t>5</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施工期不得在Ⅱ类水体集雨范围内设置施工营地、物料堆场等</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施工期各类污水严禁直排入Ⅱ类水体</w:t>
            </w:r>
          </w:p>
        </w:tc>
        <w:tc>
          <w:tcPr>
            <w:tcW w:w="2300" w:type="pct"/>
            <w:tcBorders>
              <w:tl2br w:val="nil"/>
              <w:tr2bl w:val="nil"/>
            </w:tcBorders>
            <w:vAlign w:val="center"/>
          </w:tcPr>
          <w:p w14:paraId="5999B815">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default" w:ascii="Times New Roman" w:hAnsi="Times New Roman" w:eastAsia="宋体" w:cs="Times New Roman"/>
                <w:snapToGrid/>
                <w:color w:val="000000"/>
                <w:kern w:val="0"/>
                <w:sz w:val="21"/>
                <w:szCs w:val="21"/>
                <w:vertAlign w:val="baseline"/>
                <w:lang w:val="en-US" w:eastAsia="zh-CN" w:bidi="ar-SA"/>
              </w:rPr>
              <w:t>已落实。</w:t>
            </w:r>
          </w:p>
          <w:p w14:paraId="630AC9FB">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default" w:ascii="Times New Roman" w:hAnsi="Times New Roman" w:eastAsia="宋体" w:cs="Times New Roman"/>
                <w:snapToGrid/>
                <w:color w:val="000000"/>
                <w:kern w:val="0"/>
                <w:sz w:val="21"/>
                <w:szCs w:val="21"/>
                <w:vertAlign w:val="baseline"/>
                <w:lang w:val="en-US" w:eastAsia="zh-CN" w:bidi="ar-SA"/>
              </w:rPr>
              <w:t>1</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施工单位遵守施工管理规定</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选用低噪声机械设备</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合理安排好施工时间</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除不得间断的连续施工外</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不在夜间施工</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减少噪声的影响。</w:t>
            </w:r>
          </w:p>
          <w:p w14:paraId="4558FB47">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default" w:ascii="Times New Roman" w:hAnsi="Times New Roman" w:eastAsia="宋体" w:cs="Times New Roman"/>
                <w:snapToGrid/>
                <w:color w:val="000000"/>
                <w:kern w:val="0"/>
                <w:sz w:val="21"/>
                <w:szCs w:val="21"/>
                <w:vertAlign w:val="baseline"/>
                <w:lang w:val="en-US" w:eastAsia="zh-CN" w:bidi="ar-SA"/>
              </w:rPr>
              <w:t>2</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工程施工期间</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临时用水及排水设施全面规划</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在施工现场设置临时的污水沉淀池</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不乱排、乱流</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做到文明施工。</w:t>
            </w:r>
          </w:p>
          <w:p w14:paraId="4287D912">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default" w:ascii="Times New Roman" w:hAnsi="Times New Roman" w:eastAsia="宋体" w:cs="Times New Roman"/>
                <w:snapToGrid/>
                <w:color w:val="000000"/>
                <w:kern w:val="0"/>
                <w:sz w:val="21"/>
                <w:szCs w:val="21"/>
                <w:vertAlign w:val="baseline"/>
                <w:lang w:val="en-US" w:eastAsia="zh-CN" w:bidi="ar-SA"/>
              </w:rPr>
              <w:t>3</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工程施工期间</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施工单位在建筑工地周围设置围墙</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防止尘土的飘散</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定期对施工工地进行洒水</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减少粉尘对环境的影响。</w:t>
            </w:r>
          </w:p>
          <w:p w14:paraId="7C89A8A3">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default" w:ascii="Times New Roman" w:hAnsi="Times New Roman" w:eastAsia="宋体" w:cs="Times New Roman"/>
                <w:snapToGrid/>
                <w:color w:val="000000"/>
                <w:kern w:val="0"/>
                <w:sz w:val="21"/>
                <w:szCs w:val="21"/>
                <w:vertAlign w:val="baseline"/>
                <w:lang w:val="en-US" w:eastAsia="zh-CN" w:bidi="ar-SA"/>
              </w:rPr>
              <w:t>4</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工人生活垃圾集中堆放</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定期处理</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建筑垃圾等运往批准的受纳点堆放。</w:t>
            </w:r>
          </w:p>
          <w:p w14:paraId="35DE5F49">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default" w:ascii="Times New Roman" w:hAnsi="Times New Roman" w:eastAsia="宋体" w:cs="Times New Roman"/>
                <w:snapToGrid/>
                <w:color w:val="000000"/>
                <w:kern w:val="0"/>
                <w:sz w:val="21"/>
                <w:szCs w:val="21"/>
                <w:vertAlign w:val="baseline"/>
                <w:lang w:val="en-US" w:eastAsia="zh-CN" w:bidi="ar-SA"/>
              </w:rPr>
              <w:t>5</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项目施工时</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施工营地、物料堆场均避开了Ⅱ类水体</w:t>
            </w:r>
            <w:r>
              <w:rPr>
                <w:rFonts w:hint="eastAsia" w:ascii="Times New Roman" w:hAnsi="Times New Roman" w:eastAsia="宋体" w:cs="Times New Roman"/>
                <w:snapToGrid/>
                <w:color w:val="000000"/>
                <w:kern w:val="0"/>
                <w:sz w:val="21"/>
                <w:szCs w:val="21"/>
                <w:vertAlign w:val="baseline"/>
                <w:lang w:val="en-US" w:eastAsia="zh-CN" w:bidi="ar-SA"/>
              </w:rPr>
              <w:t>保护</w:t>
            </w:r>
            <w:r>
              <w:rPr>
                <w:rFonts w:hint="default" w:ascii="Times New Roman" w:hAnsi="Times New Roman" w:eastAsia="宋体" w:cs="Times New Roman"/>
                <w:snapToGrid/>
                <w:color w:val="000000"/>
                <w:kern w:val="0"/>
                <w:sz w:val="21"/>
                <w:szCs w:val="21"/>
                <w:vertAlign w:val="baseline"/>
                <w:lang w:val="en-US" w:eastAsia="zh-CN" w:bidi="ar-SA"/>
              </w:rPr>
              <w:t>范围</w:t>
            </w:r>
            <w:r>
              <w:rPr>
                <w:rFonts w:hint="eastAsia" w:ascii="Times New Roman" w:hAnsi="Times New Roman" w:eastAsia="宋体" w:cs="Times New Roman"/>
                <w:snapToGrid/>
                <w:color w:val="000000"/>
                <w:kern w:val="0"/>
                <w:sz w:val="21"/>
                <w:szCs w:val="21"/>
                <w:vertAlign w:val="baseline"/>
                <w:lang w:val="en-US" w:eastAsia="zh-CN" w:bidi="ar-SA"/>
              </w:rPr>
              <w:t>，</w:t>
            </w:r>
            <w:r>
              <w:rPr>
                <w:rFonts w:hint="default" w:ascii="Times New Roman" w:hAnsi="Times New Roman" w:eastAsia="宋体" w:cs="Times New Roman"/>
                <w:snapToGrid/>
                <w:color w:val="000000"/>
                <w:kern w:val="0"/>
                <w:sz w:val="21"/>
                <w:szCs w:val="21"/>
                <w:vertAlign w:val="baseline"/>
                <w:lang w:val="en-US" w:eastAsia="zh-CN" w:bidi="ar-SA"/>
              </w:rPr>
              <w:t>施工的各类污水均进行了妥善的利用</w:t>
            </w:r>
          </w:p>
        </w:tc>
      </w:tr>
      <w:tr w14:paraId="4F8CEFE2">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0" w:hRule="atLeast"/>
          <w:jc w:val="center"/>
        </w:trPr>
        <w:tc>
          <w:tcPr>
            <w:tcW w:w="362" w:type="pct"/>
            <w:vMerge w:val="restart"/>
            <w:tcBorders>
              <w:tl2br w:val="nil"/>
              <w:tr2bl w:val="nil"/>
            </w:tcBorders>
            <w:vAlign w:val="center"/>
          </w:tcPr>
          <w:p w14:paraId="2C0E222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环境保护设施调试期</w:t>
            </w:r>
          </w:p>
        </w:tc>
        <w:tc>
          <w:tcPr>
            <w:tcW w:w="450" w:type="pct"/>
            <w:tcBorders>
              <w:tl2br w:val="nil"/>
              <w:tr2bl w:val="nil"/>
            </w:tcBorders>
            <w:shd w:val="clear" w:color="auto" w:fill="auto"/>
            <w:vAlign w:val="center"/>
          </w:tcPr>
          <w:p w14:paraId="743C49E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生态</w:t>
            </w:r>
          </w:p>
          <w:p w14:paraId="0528BF6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影响</w:t>
            </w:r>
          </w:p>
        </w:tc>
        <w:tc>
          <w:tcPr>
            <w:tcW w:w="1885" w:type="pct"/>
            <w:tcBorders>
              <w:tl2br w:val="nil"/>
              <w:tr2bl w:val="nil"/>
            </w:tcBorders>
            <w:shd w:val="clear" w:color="auto" w:fill="auto"/>
            <w:vAlign w:val="center"/>
          </w:tcPr>
          <w:p w14:paraId="6EB99D44">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default" w:ascii="Times New Roman" w:hAnsi="Times New Roman" w:eastAsia="宋体" w:cs="Times New Roman"/>
                <w:snapToGrid/>
                <w:color w:val="000000"/>
                <w:kern w:val="0"/>
                <w:sz w:val="21"/>
                <w:szCs w:val="21"/>
                <w:vertAlign w:val="baseline"/>
                <w:lang w:val="en-US" w:eastAsia="zh-CN" w:bidi="ar-SA"/>
              </w:rPr>
              <w:t>运行期做好环境保护设施的维护和</w:t>
            </w:r>
          </w:p>
          <w:p w14:paraId="4942991C">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default" w:ascii="Times New Roman" w:hAnsi="Times New Roman" w:eastAsia="宋体" w:cs="Times New Roman"/>
                <w:snapToGrid/>
                <w:color w:val="000000"/>
                <w:kern w:val="0"/>
                <w:sz w:val="21"/>
                <w:szCs w:val="21"/>
                <w:vertAlign w:val="baseline"/>
                <w:lang w:val="en-US" w:eastAsia="zh-CN" w:bidi="ar-SA"/>
              </w:rPr>
              <w:t>运行管理，进行线路巡检和维护时，避免过多人员和车辆进入耕地或其他环境敏感区，以减少对当地地表土壤结构和植被的破坏，避免过多干扰野生动物的生境；强化设备检修维护人员的生态环境保护意识教育，并严格管理，避免对项目周边的自然植被和生态系统的破坏</w:t>
            </w:r>
          </w:p>
        </w:tc>
        <w:tc>
          <w:tcPr>
            <w:tcW w:w="2300" w:type="pct"/>
            <w:tcBorders>
              <w:tl2br w:val="nil"/>
              <w:tr2bl w:val="nil"/>
            </w:tcBorders>
            <w:shd w:val="clear" w:color="auto" w:fill="auto"/>
            <w:vAlign w:val="center"/>
          </w:tcPr>
          <w:p w14:paraId="6F07E5A6">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default" w:ascii="Times New Roman" w:hAnsi="Times New Roman" w:eastAsia="宋体" w:cs="Times New Roman"/>
                <w:snapToGrid/>
                <w:color w:val="000000"/>
                <w:kern w:val="0"/>
                <w:sz w:val="21"/>
                <w:szCs w:val="21"/>
                <w:vertAlign w:val="baseline"/>
                <w:lang w:val="en-US" w:eastAsia="zh-CN" w:bidi="ar-SA"/>
              </w:rPr>
              <w:t>已落实：</w:t>
            </w:r>
          </w:p>
          <w:p w14:paraId="7E168140">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snapToGrid/>
                <w:color w:val="000000"/>
                <w:kern w:val="0"/>
                <w:sz w:val="21"/>
                <w:szCs w:val="21"/>
                <w:vertAlign w:val="baseline"/>
                <w:lang w:val="en-US" w:eastAsia="zh-CN" w:bidi="ar-SA"/>
              </w:rPr>
            </w:pPr>
            <w:r>
              <w:rPr>
                <w:rFonts w:hint="default" w:ascii="Times New Roman" w:hAnsi="Times New Roman" w:eastAsia="宋体" w:cs="Times New Roman"/>
                <w:snapToGrid/>
                <w:color w:val="000000"/>
                <w:kern w:val="0"/>
                <w:sz w:val="21"/>
                <w:szCs w:val="21"/>
                <w:vertAlign w:val="baseline"/>
                <w:lang w:val="en-US" w:eastAsia="zh-CN" w:bidi="ar-SA"/>
              </w:rPr>
              <w:t>运行期将做好环境保护设施的维护和运行管理，进行线路巡检和维护时，避免过多人员和车辆进入耕地或其他环境敏感区，减少了对当地地表土壤结构和植被的破坏，避免过多干扰野生动物的生境；强化设备检修维护人员的生态环境保护意识教育，并严格管理，避免对项目周边的自然植被和生态系统的破坏。项目运行过程中，未发现原有陆生生态系统发生破坏的现象，</w:t>
            </w:r>
            <w:r>
              <w:rPr>
                <w:rFonts w:hint="eastAsia" w:ascii="Times New Roman" w:hAnsi="Times New Roman" w:eastAsia="宋体" w:cs="Times New Roman"/>
                <w:snapToGrid/>
                <w:color w:val="000000"/>
                <w:kern w:val="0"/>
                <w:sz w:val="21"/>
                <w:szCs w:val="21"/>
                <w:vertAlign w:val="baseline"/>
                <w:lang w:val="en-US" w:eastAsia="zh-CN" w:bidi="ar-SA"/>
              </w:rPr>
              <w:t>升压站区</w:t>
            </w:r>
            <w:r>
              <w:rPr>
                <w:rFonts w:hint="default" w:ascii="Times New Roman" w:hAnsi="Times New Roman" w:eastAsia="宋体" w:cs="Times New Roman"/>
                <w:snapToGrid/>
                <w:color w:val="000000"/>
                <w:kern w:val="0"/>
                <w:sz w:val="21"/>
                <w:szCs w:val="21"/>
                <w:vertAlign w:val="baseline"/>
                <w:lang w:val="en-US" w:eastAsia="zh-CN" w:bidi="ar-SA"/>
              </w:rPr>
              <w:t>植被恢复良好</w:t>
            </w:r>
          </w:p>
        </w:tc>
      </w:tr>
      <w:tr w14:paraId="089E33C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0" w:hRule="atLeast"/>
          <w:jc w:val="center"/>
        </w:trPr>
        <w:tc>
          <w:tcPr>
            <w:tcW w:w="362" w:type="pct"/>
            <w:vMerge w:val="continue"/>
            <w:tcBorders>
              <w:tl2br w:val="nil"/>
              <w:tr2bl w:val="nil"/>
            </w:tcBorders>
            <w:textDirection w:val="tbRlV"/>
            <w:vAlign w:val="center"/>
          </w:tcPr>
          <w:p w14:paraId="4078309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p>
        </w:tc>
        <w:tc>
          <w:tcPr>
            <w:tcW w:w="450" w:type="pct"/>
            <w:tcBorders>
              <w:tl2br w:val="nil"/>
              <w:tr2bl w:val="nil"/>
            </w:tcBorders>
            <w:vAlign w:val="center"/>
          </w:tcPr>
          <w:p w14:paraId="4E4E123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污染</w:t>
            </w:r>
          </w:p>
          <w:p w14:paraId="2E293DC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影响</w:t>
            </w:r>
          </w:p>
        </w:tc>
        <w:tc>
          <w:tcPr>
            <w:tcW w:w="1885" w:type="pct"/>
            <w:tcBorders>
              <w:tl2br w:val="nil"/>
              <w:tr2bl w:val="nil"/>
            </w:tcBorders>
            <w:vAlign w:val="center"/>
          </w:tcPr>
          <w:p w14:paraId="3087F43A">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1</w:t>
            </w: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w:t>
            </w:r>
            <w:r>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项目运行过程电场强度不得大于4000V/m、磁场强度不得大于100μT。</w:t>
            </w:r>
          </w:p>
          <w:p w14:paraId="747BE9F1">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2</w:t>
            </w: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w:t>
            </w:r>
            <w:r>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采取有效措施使厂界噪声达到《工业企业厂界环境噪声排放标准》</w:t>
            </w: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w:t>
            </w:r>
            <w:r>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GB12348-2008</w:t>
            </w: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）2</w:t>
            </w:r>
            <w:r>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类标准。</w:t>
            </w:r>
          </w:p>
          <w:p w14:paraId="439490A9">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3</w:t>
            </w: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w:t>
            </w:r>
            <w:r>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生活废水经地埋式一体化污水处理设施（接触氧化+沉淀）处理达标后用于站区绿化</w:t>
            </w: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w:t>
            </w:r>
            <w:r>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不得外排。</w:t>
            </w:r>
          </w:p>
          <w:p w14:paraId="38CA87B4">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4</w:t>
            </w: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w:t>
            </w:r>
            <w:r>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设置足够容积的事故贮油池</w:t>
            </w: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w:t>
            </w:r>
            <w:r>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杜绝变压器油事故排放</w:t>
            </w:r>
          </w:p>
        </w:tc>
        <w:tc>
          <w:tcPr>
            <w:tcW w:w="2300" w:type="pct"/>
            <w:tcBorders>
              <w:tl2br w:val="nil"/>
              <w:tr2bl w:val="nil"/>
            </w:tcBorders>
            <w:vAlign w:val="center"/>
          </w:tcPr>
          <w:p w14:paraId="5CB0628D">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已落实。</w:t>
            </w:r>
          </w:p>
          <w:p w14:paraId="31DE937D">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1</w:t>
            </w: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、根据监测结果，</w:t>
            </w:r>
            <w:r>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项目运行过程电场强度不大于4000V/m、磁场强度不大于100μT。</w:t>
            </w:r>
          </w:p>
          <w:p w14:paraId="643ABA6F">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2</w:t>
            </w: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、根据</w:t>
            </w:r>
            <w:r>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监测结果项目该工程厂界噪声符合《工业企业厂界环境噪声排放标准》</w:t>
            </w: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w:t>
            </w:r>
            <w:r>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GB12348-2008</w:t>
            </w: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）2</w:t>
            </w:r>
            <w:r>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类标准。</w:t>
            </w:r>
          </w:p>
          <w:p w14:paraId="332B5BAC">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3</w:t>
            </w: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、生活污水经化粪池预处理后定期清掏</w:t>
            </w:r>
            <w:r>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w:t>
            </w:r>
          </w:p>
          <w:p w14:paraId="00FA1968">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4</w:t>
            </w: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w:t>
            </w:r>
            <w:r>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事故贮油池</w:t>
            </w: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w:t>
            </w:r>
            <w:r>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容积为</w:t>
            </w:r>
            <w:r>
              <w:rPr>
                <w:rFonts w:hint="eastAsia"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40</w:t>
            </w:r>
            <w:r>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m</w:t>
            </w:r>
            <w:r>
              <w:rPr>
                <w:rFonts w:hint="default" w:ascii="Times New Roman" w:hAnsi="Times New Roman" w:eastAsia="宋体" w:cs="Times New Roman"/>
                <w:snapToGrid/>
                <w:color w:val="000000" w:themeColor="text1"/>
                <w:kern w:val="0"/>
                <w:sz w:val="21"/>
                <w:szCs w:val="21"/>
                <w:vertAlign w:val="superscript"/>
                <w:lang w:val="en-US" w:eastAsia="zh-CN" w:bidi="ar-SA"/>
                <w14:textFill>
                  <w14:solidFill>
                    <w14:schemeClr w14:val="tx1"/>
                  </w14:solidFill>
                </w14:textFill>
              </w:rPr>
              <w:t>3</w:t>
            </w:r>
          </w:p>
        </w:tc>
      </w:tr>
    </w:tbl>
    <w:p w14:paraId="3A29CBD5">
      <w:pPr>
        <w:rPr>
          <w:rFonts w:ascii="Arial"/>
          <w:sz w:val="21"/>
        </w:rPr>
      </w:pPr>
    </w:p>
    <w:p w14:paraId="070D68A9">
      <w:pPr>
        <w:keepNext w:val="0"/>
        <w:keepLines w:val="0"/>
        <w:pageBreakBefore w:val="0"/>
        <w:widowControl/>
        <w:kinsoku/>
        <w:wordWrap/>
        <w:overflowPunct/>
        <w:topLinePunct w:val="0"/>
        <w:autoSpaceDE/>
        <w:autoSpaceDN/>
        <w:bidi w:val="0"/>
        <w:adjustRightInd/>
        <w:snapToGrid/>
        <w:spacing w:line="360" w:lineRule="auto"/>
        <w:ind w:firstLine="482"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bCs/>
          <w:snapToGrid/>
          <w:color w:val="000000"/>
          <w:kern w:val="0"/>
          <w:sz w:val="24"/>
          <w:szCs w:val="24"/>
          <w:lang w:val="en-US" w:eastAsia="zh-CN" w:bidi="ar-SA"/>
        </w:rPr>
        <w:t>施工期附图：</w:t>
      </w:r>
    </w:p>
    <w:p w14:paraId="0CD99F2A">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drawing>
          <wp:inline distT="0" distB="0" distL="114300" distR="114300">
            <wp:extent cx="5222875" cy="3917315"/>
            <wp:effectExtent l="12700" t="12700" r="22225" b="13335"/>
            <wp:docPr id="1" name="图片 1" descr="d41ca0feccc53eb35448f86966c7e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41ca0feccc53eb35448f86966c7e32"/>
                    <pic:cNvPicPr>
                      <a:picLocks noChangeAspect="1"/>
                    </pic:cNvPicPr>
                  </pic:nvPicPr>
                  <pic:blipFill>
                    <a:blip r:embed="rId23"/>
                    <a:stretch>
                      <a:fillRect/>
                    </a:stretch>
                  </pic:blipFill>
                  <pic:spPr>
                    <a:xfrm>
                      <a:off x="0" y="0"/>
                      <a:ext cx="5222875" cy="3917315"/>
                    </a:xfrm>
                    <a:prstGeom prst="rect">
                      <a:avLst/>
                    </a:prstGeom>
                    <a:ln w="12700" cmpd="sng">
                      <a:solidFill>
                        <a:schemeClr val="tx1"/>
                      </a:solidFill>
                      <a:prstDash val="solid"/>
                    </a:ln>
                  </pic:spPr>
                </pic:pic>
              </a:graphicData>
            </a:graphic>
          </wp:inline>
        </w:drawing>
      </w:r>
    </w:p>
    <w:p w14:paraId="249F299F">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p>
    <w:p w14:paraId="28AF95DA">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drawing>
          <wp:inline distT="0" distB="0" distL="114300" distR="114300">
            <wp:extent cx="5222875" cy="3917315"/>
            <wp:effectExtent l="12700" t="12700" r="22225" b="13335"/>
            <wp:docPr id="2" name="图片 2" descr="74aa284af3ca01028334937972d09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74aa284af3ca01028334937972d09cc"/>
                    <pic:cNvPicPr>
                      <a:picLocks noChangeAspect="1"/>
                    </pic:cNvPicPr>
                  </pic:nvPicPr>
                  <pic:blipFill>
                    <a:blip r:embed="rId24"/>
                    <a:stretch>
                      <a:fillRect/>
                    </a:stretch>
                  </pic:blipFill>
                  <pic:spPr>
                    <a:xfrm>
                      <a:off x="0" y="0"/>
                      <a:ext cx="5222875" cy="3917315"/>
                    </a:xfrm>
                    <a:prstGeom prst="rect">
                      <a:avLst/>
                    </a:prstGeom>
                    <a:ln w="12700" cmpd="sng">
                      <a:solidFill>
                        <a:schemeClr val="tx1"/>
                      </a:solidFill>
                      <a:prstDash val="solid"/>
                    </a:ln>
                  </pic:spPr>
                </pic:pic>
              </a:graphicData>
            </a:graphic>
          </wp:inline>
        </w:drawing>
      </w:r>
    </w:p>
    <w:p w14:paraId="2DBB6729">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drawing>
          <wp:inline distT="0" distB="0" distL="114300" distR="114300">
            <wp:extent cx="5222875" cy="3917315"/>
            <wp:effectExtent l="12700" t="12700" r="22225" b="13335"/>
            <wp:docPr id="11" name="图片 11" descr="46f744aeda58730cf20a84494453f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46f744aeda58730cf20a84494453fe4"/>
                    <pic:cNvPicPr>
                      <a:picLocks noChangeAspect="1"/>
                    </pic:cNvPicPr>
                  </pic:nvPicPr>
                  <pic:blipFill>
                    <a:blip r:embed="rId25"/>
                    <a:stretch>
                      <a:fillRect/>
                    </a:stretch>
                  </pic:blipFill>
                  <pic:spPr>
                    <a:xfrm>
                      <a:off x="0" y="0"/>
                      <a:ext cx="5222875" cy="3917315"/>
                    </a:xfrm>
                    <a:prstGeom prst="rect">
                      <a:avLst/>
                    </a:prstGeom>
                    <a:ln w="12700" cmpd="sng">
                      <a:solidFill>
                        <a:schemeClr val="tx1"/>
                      </a:solidFill>
                      <a:prstDash val="solid"/>
                    </a:ln>
                  </pic:spPr>
                </pic:pic>
              </a:graphicData>
            </a:graphic>
          </wp:inline>
        </w:drawing>
      </w:r>
    </w:p>
    <w:p w14:paraId="2B5BBB35">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p>
    <w:p w14:paraId="0EB330E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drawing>
          <wp:inline distT="0" distB="0" distL="114300" distR="114300">
            <wp:extent cx="4286250" cy="7620000"/>
            <wp:effectExtent l="12700" t="12700" r="25400" b="25400"/>
            <wp:docPr id="14" name="图片 14" descr="1e368c0e44eab250ba471ed64ff3e6aa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e368c0e44eab250ba471ed64ff3e6aa_"/>
                    <pic:cNvPicPr>
                      <a:picLocks noChangeAspect="1"/>
                    </pic:cNvPicPr>
                  </pic:nvPicPr>
                  <pic:blipFill>
                    <a:blip r:embed="rId26"/>
                    <a:stretch>
                      <a:fillRect/>
                    </a:stretch>
                  </pic:blipFill>
                  <pic:spPr>
                    <a:xfrm>
                      <a:off x="0" y="0"/>
                      <a:ext cx="4286250" cy="7620000"/>
                    </a:xfrm>
                    <a:prstGeom prst="rect">
                      <a:avLst/>
                    </a:prstGeom>
                    <a:ln w="12700" cmpd="sng">
                      <a:solidFill>
                        <a:schemeClr val="tx1"/>
                      </a:solidFill>
                      <a:prstDash val="solid"/>
                    </a:ln>
                  </pic:spPr>
                </pic:pic>
              </a:graphicData>
            </a:graphic>
          </wp:inline>
        </w:drawing>
      </w:r>
      <w:r>
        <w:rPr>
          <w:rFonts w:hint="eastAsia" w:ascii="Times New Roman" w:hAnsi="Times New Roman" w:eastAsia="宋体" w:cs="Times New Roman"/>
          <w:b w:val="0"/>
          <w:bCs w:val="0"/>
          <w:snapToGrid/>
          <w:color w:val="000000"/>
          <w:kern w:val="0"/>
          <w:sz w:val="24"/>
          <w:szCs w:val="24"/>
          <w:lang w:val="en-US" w:eastAsia="zh-CN" w:bidi="ar-SA"/>
        </w:rPr>
        <w:drawing>
          <wp:inline distT="0" distB="0" distL="114300" distR="114300">
            <wp:extent cx="4886325" cy="7937500"/>
            <wp:effectExtent l="12700" t="12700" r="15875" b="12700"/>
            <wp:docPr id="15" name="图片 15" descr="14c8f29ef2e2eb3b2b712e8151734f5f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4c8f29ef2e2eb3b2b712e8151734f5f_"/>
                    <pic:cNvPicPr>
                      <a:picLocks noChangeAspect="1"/>
                    </pic:cNvPicPr>
                  </pic:nvPicPr>
                  <pic:blipFill>
                    <a:blip r:embed="rId27"/>
                    <a:srcRect b="8626"/>
                    <a:stretch>
                      <a:fillRect/>
                    </a:stretch>
                  </pic:blipFill>
                  <pic:spPr>
                    <a:xfrm>
                      <a:off x="0" y="0"/>
                      <a:ext cx="4886325" cy="7937500"/>
                    </a:xfrm>
                    <a:prstGeom prst="rect">
                      <a:avLst/>
                    </a:prstGeom>
                    <a:ln w="12700" cmpd="sng">
                      <a:solidFill>
                        <a:schemeClr val="tx1"/>
                      </a:solidFill>
                      <a:prstDash val="solid"/>
                    </a:ln>
                  </pic:spPr>
                </pic:pic>
              </a:graphicData>
            </a:graphic>
          </wp:inline>
        </w:drawing>
      </w:r>
      <w:r>
        <w:rPr>
          <w:rFonts w:hint="eastAsia" w:ascii="Times New Roman" w:hAnsi="Times New Roman" w:eastAsia="宋体" w:cs="Times New Roman"/>
          <w:b w:val="0"/>
          <w:bCs w:val="0"/>
          <w:snapToGrid/>
          <w:color w:val="000000"/>
          <w:kern w:val="0"/>
          <w:sz w:val="24"/>
          <w:szCs w:val="24"/>
          <w:lang w:val="en-US" w:eastAsia="zh-CN" w:bidi="ar-SA"/>
        </w:rPr>
        <w:drawing>
          <wp:inline distT="0" distB="0" distL="114300" distR="114300">
            <wp:extent cx="5265420" cy="2961640"/>
            <wp:effectExtent l="0" t="0" r="11430" b="10160"/>
            <wp:docPr id="17" name="图片 17" descr="31fd8c55895ecc1734f6af24ff72d815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31fd8c55895ecc1734f6af24ff72d815_"/>
                    <pic:cNvPicPr>
                      <a:picLocks noChangeAspect="1"/>
                    </pic:cNvPicPr>
                  </pic:nvPicPr>
                  <pic:blipFill>
                    <a:blip r:embed="rId28"/>
                    <a:stretch>
                      <a:fillRect/>
                    </a:stretch>
                  </pic:blipFill>
                  <pic:spPr>
                    <a:xfrm>
                      <a:off x="0" y="0"/>
                      <a:ext cx="5265420" cy="2961640"/>
                    </a:xfrm>
                    <a:prstGeom prst="rect">
                      <a:avLst/>
                    </a:prstGeom>
                  </pic:spPr>
                </pic:pic>
              </a:graphicData>
            </a:graphic>
          </wp:inline>
        </w:drawing>
      </w:r>
    </w:p>
    <w:p w14:paraId="32823B65">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drawing>
          <wp:inline distT="0" distB="0" distL="114300" distR="114300">
            <wp:extent cx="5265420" cy="2961640"/>
            <wp:effectExtent l="0" t="0" r="11430" b="10160"/>
            <wp:docPr id="18" name="图片 18" descr="1ee56f4ca50e7ce9bca914cd42535ff6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1ee56f4ca50e7ce9bca914cd42535ff6_"/>
                    <pic:cNvPicPr>
                      <a:picLocks noChangeAspect="1"/>
                    </pic:cNvPicPr>
                  </pic:nvPicPr>
                  <pic:blipFill>
                    <a:blip r:embed="rId29"/>
                    <a:stretch>
                      <a:fillRect/>
                    </a:stretch>
                  </pic:blipFill>
                  <pic:spPr>
                    <a:xfrm>
                      <a:off x="0" y="0"/>
                      <a:ext cx="5265420" cy="2961640"/>
                    </a:xfrm>
                    <a:prstGeom prst="rect">
                      <a:avLst/>
                    </a:prstGeom>
                  </pic:spPr>
                </pic:pic>
              </a:graphicData>
            </a:graphic>
          </wp:inline>
        </w:drawing>
      </w:r>
    </w:p>
    <w:p w14:paraId="23B0EEB8">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p>
    <w:p w14:paraId="41BC115E">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p>
    <w:p w14:paraId="27347A0B">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p>
    <w:p w14:paraId="04039531">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p>
    <w:p w14:paraId="3162FCA9">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p>
    <w:p w14:paraId="7EE2D64F">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p>
    <w:p w14:paraId="1A3B1A02">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p>
    <w:p w14:paraId="0F2127D0">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p>
    <w:p w14:paraId="1C554DAB">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p>
    <w:p w14:paraId="2EBCA8E0">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p>
    <w:p w14:paraId="5718D735">
      <w:pPr>
        <w:keepNext w:val="0"/>
        <w:keepLines w:val="0"/>
        <w:pageBreakBefore w:val="0"/>
        <w:widowControl/>
        <w:kinsoku/>
        <w:wordWrap/>
        <w:overflowPunct/>
        <w:topLinePunct w:val="0"/>
        <w:autoSpaceDE/>
        <w:autoSpaceDN/>
        <w:bidi w:val="0"/>
        <w:adjustRightInd/>
        <w:snapToGrid/>
        <w:spacing w:line="360" w:lineRule="auto"/>
        <w:ind w:firstLine="482" w:firstLineChars="200"/>
        <w:jc w:val="both"/>
        <w:textAlignment w:val="auto"/>
        <w:rPr>
          <w:rFonts w:hint="eastAsia" w:ascii="Times New Roman" w:hAnsi="Times New Roman" w:eastAsia="宋体" w:cs="Times New Roman"/>
          <w:b/>
          <w:bCs/>
          <w:snapToGrid/>
          <w:color w:val="000000"/>
          <w:kern w:val="0"/>
          <w:sz w:val="24"/>
          <w:szCs w:val="24"/>
          <w:lang w:val="en-US" w:eastAsia="zh-CN" w:bidi="ar-SA"/>
        </w:rPr>
      </w:pPr>
      <w:r>
        <w:rPr>
          <w:rFonts w:hint="eastAsia" w:ascii="Times New Roman" w:hAnsi="Times New Roman" w:eastAsia="宋体" w:cs="Times New Roman"/>
          <w:b/>
          <w:bCs/>
          <w:snapToGrid/>
          <w:color w:val="000000"/>
          <w:kern w:val="0"/>
          <w:sz w:val="24"/>
          <w:szCs w:val="24"/>
          <w:lang w:val="en-US" w:eastAsia="zh-CN" w:bidi="ar-SA"/>
        </w:rPr>
        <w:t>项目建成后附图：</w:t>
      </w:r>
    </w:p>
    <w:p w14:paraId="528F9216">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仿宋" w:hAnsi="仿宋" w:eastAsia="仿宋" w:cs="仿宋"/>
          <w:sz w:val="24"/>
          <w:szCs w:val="32"/>
          <w:vertAlign w:val="baseline"/>
          <w:lang w:val="en-US" w:eastAsia="zh-CN"/>
        </w:rPr>
      </w:pPr>
      <w:r>
        <w:rPr>
          <w:rFonts w:hint="eastAsia" w:ascii="仿宋" w:hAnsi="仿宋" w:eastAsia="仿宋" w:cs="仿宋"/>
          <w:sz w:val="24"/>
          <w:szCs w:val="32"/>
          <w:vertAlign w:val="baseline"/>
          <w:lang w:val="en-US" w:eastAsia="zh-CN"/>
        </w:rPr>
        <w:drawing>
          <wp:inline distT="0" distB="0" distL="114300" distR="114300">
            <wp:extent cx="5295265" cy="2630805"/>
            <wp:effectExtent l="12700" t="12700" r="26035" b="23495"/>
            <wp:docPr id="20" name="图片 20" descr="DJI_0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DJI_0174"/>
                    <pic:cNvPicPr>
                      <a:picLocks noChangeAspect="1"/>
                    </pic:cNvPicPr>
                  </pic:nvPicPr>
                  <pic:blipFill>
                    <a:blip r:embed="rId30"/>
                    <a:srcRect t="44528"/>
                    <a:stretch>
                      <a:fillRect/>
                    </a:stretch>
                  </pic:blipFill>
                  <pic:spPr>
                    <a:xfrm>
                      <a:off x="0" y="0"/>
                      <a:ext cx="5295265" cy="2630805"/>
                    </a:xfrm>
                    <a:prstGeom prst="rect">
                      <a:avLst/>
                    </a:prstGeom>
                    <a:ln w="12700" cmpd="sng">
                      <a:solidFill>
                        <a:schemeClr val="tx1"/>
                      </a:solidFill>
                      <a:prstDash val="solid"/>
                    </a:ln>
                  </pic:spPr>
                </pic:pic>
              </a:graphicData>
            </a:graphic>
          </wp:inline>
        </w:drawing>
      </w:r>
    </w:p>
    <w:p w14:paraId="025F151B">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b w:val="0"/>
          <w:bCs w:val="0"/>
          <w:snapToGrid/>
          <w:color w:val="000000"/>
          <w:kern w:val="0"/>
          <w:sz w:val="24"/>
          <w:szCs w:val="24"/>
          <w:lang w:val="en-US" w:eastAsia="zh-CN" w:bidi="ar-SA"/>
        </w:rPr>
      </w:pPr>
      <w:r>
        <w:rPr>
          <w:rFonts w:hint="eastAsia" w:ascii="Times New Roman" w:hAnsi="Times New Roman" w:eastAsia="宋体" w:cs="Times New Roman"/>
          <w:b w:val="0"/>
          <w:bCs w:val="0"/>
          <w:snapToGrid/>
          <w:color w:val="000000"/>
          <w:kern w:val="0"/>
          <w:sz w:val="24"/>
          <w:szCs w:val="24"/>
          <w:lang w:val="en-US" w:eastAsia="zh-CN" w:bidi="ar-SA"/>
        </w:rPr>
        <w:drawing>
          <wp:inline distT="0" distB="0" distL="114300" distR="114300">
            <wp:extent cx="5266690" cy="5262245"/>
            <wp:effectExtent l="12700" t="12700" r="16510" b="20955"/>
            <wp:docPr id="22" name="图片 22" descr="d27b7896b6b5b5afdefc277ec80110db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d27b7896b6b5b5afdefc277ec80110db_"/>
                    <pic:cNvPicPr>
                      <a:picLocks noChangeAspect="1"/>
                    </pic:cNvPicPr>
                  </pic:nvPicPr>
                  <pic:blipFill>
                    <a:blip r:embed="rId31"/>
                    <a:srcRect t="12757" b="12323"/>
                    <a:stretch>
                      <a:fillRect/>
                    </a:stretch>
                  </pic:blipFill>
                  <pic:spPr>
                    <a:xfrm>
                      <a:off x="0" y="0"/>
                      <a:ext cx="5266690" cy="5262245"/>
                    </a:xfrm>
                    <a:prstGeom prst="rect">
                      <a:avLst/>
                    </a:prstGeom>
                    <a:ln w="12700" cmpd="sng">
                      <a:solidFill>
                        <a:schemeClr val="tx1"/>
                      </a:solidFill>
                      <a:prstDash val="solid"/>
                    </a:ln>
                  </pic:spPr>
                </pic:pic>
              </a:graphicData>
            </a:graphic>
          </wp:inline>
        </w:drawing>
      </w:r>
    </w:p>
    <w:p w14:paraId="4271C0D4">
      <w:pPr>
        <w:sectPr>
          <w:headerReference r:id="rId12" w:type="default"/>
          <w:footerReference r:id="rId13" w:type="default"/>
          <w:pgSz w:w="11905" w:h="16838"/>
          <w:pgMar w:top="1440" w:right="1803" w:bottom="1440" w:left="1803" w:header="1457" w:footer="992" w:gutter="0"/>
          <w:pgBorders>
            <w:top w:val="none" w:sz="0" w:space="0"/>
            <w:left w:val="none" w:sz="0" w:space="0"/>
            <w:bottom w:val="none" w:sz="0" w:space="0"/>
            <w:right w:val="none" w:sz="0" w:space="0"/>
          </w:pgBorders>
          <w:pgNumType w:fmt="decimal"/>
          <w:cols w:space="0" w:num="1"/>
          <w:rtlGutter w:val="0"/>
          <w:docGrid w:linePitch="0" w:charSpace="0"/>
        </w:sectPr>
      </w:pPr>
      <w:r>
        <w:rPr>
          <w:rFonts w:hint="eastAsia" w:ascii="宋体" w:hAnsi="宋体" w:eastAsia="宋体" w:cs="宋体"/>
          <w:sz w:val="18"/>
          <w:szCs w:val="18"/>
          <w:lang w:eastAsia="zh-CN"/>
        </w:rPr>
        <w:drawing>
          <wp:inline distT="0" distB="0" distL="114300" distR="114300">
            <wp:extent cx="5266690" cy="7023735"/>
            <wp:effectExtent l="12700" t="12700" r="16510" b="31115"/>
            <wp:docPr id="23" name="图片 23" descr="724a4c48ff57caf250fb51807b17227c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724a4c48ff57caf250fb51807b17227c_"/>
                    <pic:cNvPicPr>
                      <a:picLocks noChangeAspect="1"/>
                    </pic:cNvPicPr>
                  </pic:nvPicPr>
                  <pic:blipFill>
                    <a:blip r:embed="rId32"/>
                    <a:stretch>
                      <a:fillRect/>
                    </a:stretch>
                  </pic:blipFill>
                  <pic:spPr>
                    <a:xfrm>
                      <a:off x="0" y="0"/>
                      <a:ext cx="5266690" cy="7023735"/>
                    </a:xfrm>
                    <a:prstGeom prst="rect">
                      <a:avLst/>
                    </a:prstGeom>
                    <a:ln w="12700" cmpd="sng">
                      <a:solidFill>
                        <a:schemeClr val="tx1"/>
                      </a:solidFill>
                      <a:prstDash val="solid"/>
                    </a:ln>
                  </pic:spPr>
                </pic:pic>
              </a:graphicData>
            </a:graphic>
          </wp:inline>
        </w:drawing>
      </w:r>
      <w:r>
        <w:rPr>
          <w:rFonts w:hint="eastAsia" w:ascii="宋体" w:hAnsi="宋体" w:eastAsia="宋体" w:cs="宋体"/>
          <w:b/>
          <w:bCs/>
          <w:sz w:val="18"/>
          <w:szCs w:val="18"/>
          <w:lang w:eastAsia="zh-CN"/>
        </w:rPr>
        <w:drawing>
          <wp:inline distT="0" distB="0" distL="114300" distR="114300">
            <wp:extent cx="5266690" cy="7023735"/>
            <wp:effectExtent l="12700" t="12700" r="16510" b="31115"/>
            <wp:docPr id="24" name="图片 24" descr="27db3157197d361622cdb002bce7dedb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27db3157197d361622cdb002bce7dedb_"/>
                    <pic:cNvPicPr>
                      <a:picLocks noChangeAspect="1"/>
                    </pic:cNvPicPr>
                  </pic:nvPicPr>
                  <pic:blipFill>
                    <a:blip r:embed="rId33"/>
                    <a:stretch>
                      <a:fillRect/>
                    </a:stretch>
                  </pic:blipFill>
                  <pic:spPr>
                    <a:xfrm>
                      <a:off x="0" y="0"/>
                      <a:ext cx="5266690" cy="7023735"/>
                    </a:xfrm>
                    <a:prstGeom prst="rect">
                      <a:avLst/>
                    </a:prstGeom>
                    <a:ln w="12700" cmpd="sng">
                      <a:solidFill>
                        <a:schemeClr val="tx1"/>
                      </a:solidFill>
                      <a:prstDash val="solid"/>
                    </a:ln>
                  </pic:spPr>
                </pic:pic>
              </a:graphicData>
            </a:graphic>
          </wp:inline>
        </w:drawing>
      </w:r>
    </w:p>
    <w:p w14:paraId="0CE93FB4">
      <w:pPr>
        <w:widowControl/>
        <w:kinsoku/>
        <w:autoSpaceDE/>
        <w:autoSpaceDN/>
        <w:adjustRightInd/>
        <w:snapToGrid/>
        <w:spacing w:line="240" w:lineRule="auto"/>
        <w:jc w:val="center"/>
        <w:textAlignment w:val="auto"/>
        <w:rPr>
          <w:rFonts w:hint="default" w:ascii="Times New Roman" w:hAnsi="Times New Roman" w:eastAsia="黑体" w:cs="Times New Roman"/>
          <w:b/>
          <w:bCs/>
          <w:snapToGrid/>
          <w:color w:val="000000"/>
          <w:kern w:val="0"/>
          <w:sz w:val="28"/>
          <w:szCs w:val="28"/>
          <w:lang w:val="en-US" w:eastAsia="zh-CN" w:bidi="ar-SA"/>
        </w:rPr>
      </w:pPr>
      <w:r>
        <w:rPr>
          <w:rFonts w:hint="default" w:ascii="Times New Roman" w:hAnsi="Times New Roman" w:eastAsia="黑体" w:cs="Times New Roman"/>
          <w:b/>
          <w:bCs/>
          <w:snapToGrid/>
          <w:color w:val="000000"/>
          <w:kern w:val="0"/>
          <w:sz w:val="28"/>
          <w:szCs w:val="28"/>
          <w:lang w:val="en-US" w:eastAsia="zh-CN" w:bidi="ar-SA"/>
        </w:rPr>
        <w:t>表7电磁环境、声环境监测（附监测点位图）</w:t>
      </w:r>
    </w:p>
    <w:p w14:paraId="1B757986">
      <w:pPr>
        <w:spacing w:line="89" w:lineRule="exact"/>
      </w:pPr>
    </w:p>
    <w:tbl>
      <w:tblPr>
        <w:tblStyle w:val="16"/>
        <w:tblW w:w="5000"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8329"/>
      </w:tblGrid>
      <w:tr w14:paraId="610B8F2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1331" w:hRule="atLeast"/>
          <w:jc w:val="center"/>
        </w:trPr>
        <w:tc>
          <w:tcPr>
            <w:tcW w:w="5000" w:type="pct"/>
            <w:tcBorders>
              <w:tl2br w:val="nil"/>
              <w:tr2bl w:val="nil"/>
            </w:tcBorders>
            <w:vAlign w:val="top"/>
          </w:tcPr>
          <w:p w14:paraId="02C54D90">
            <w:pPr>
              <w:widowControl/>
              <w:kinsoku/>
              <w:autoSpaceDE/>
              <w:autoSpaceDN/>
              <w:adjustRightInd/>
              <w:snapToGrid/>
              <w:spacing w:line="240" w:lineRule="auto"/>
              <w:jc w:val="left"/>
              <w:textAlignment w:val="auto"/>
              <w:rPr>
                <w:rFonts w:hint="default" w:ascii="Times New Roman" w:hAnsi="Times New Roman" w:eastAsia="宋体" w:cs="Times New Roman"/>
                <w:b/>
                <w:bCs/>
                <w:snapToGrid/>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bCs/>
                <w:snapToGrid/>
                <w:color w:val="000000" w:themeColor="text1"/>
                <w:kern w:val="0"/>
                <w:sz w:val="24"/>
                <w:szCs w:val="24"/>
                <w:lang w:val="en-US" w:eastAsia="zh-CN" w:bidi="ar-SA"/>
                <w14:textFill>
                  <w14:solidFill>
                    <w14:schemeClr w14:val="tx1"/>
                  </w14:solidFill>
                </w14:textFill>
              </w:rPr>
              <w:t>监测因子及监测频次</w:t>
            </w:r>
          </w:p>
          <w:p w14:paraId="71D570AD">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bCs/>
                <w:snapToGrid/>
                <w:color w:val="000000" w:themeColor="text1"/>
                <w:kern w:val="0"/>
                <w:sz w:val="24"/>
                <w:szCs w:val="24"/>
                <w:lang w:val="en-US" w:eastAsia="zh-CN" w:bidi="ar-SA"/>
                <w14:textFill>
                  <w14:solidFill>
                    <w14:schemeClr w14:val="tx1"/>
                  </w14:solidFill>
                </w14:textFill>
              </w:rPr>
              <w:t>表7.1监测因子及监测频次一览表</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3"/>
              <w:gridCol w:w="7176"/>
            </w:tblGrid>
            <w:tr w14:paraId="610B1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13" w:type="dxa"/>
                  <w:vAlign w:val="center"/>
                </w:tcPr>
                <w:p w14:paraId="3B8FC95D">
                  <w:pPr>
                    <w:widowControl/>
                    <w:kinsoku/>
                    <w:autoSpaceDE/>
                    <w:autoSpaceDN/>
                    <w:adjustRightInd/>
                    <w:snapToGrid/>
                    <w:spacing w:line="240" w:lineRule="auto"/>
                    <w:jc w:val="center"/>
                    <w:textAlignment w:val="auto"/>
                    <w:rPr>
                      <w:rFonts w:hint="default" w:ascii="Times New Roman" w:hAnsi="Times New Roman" w:eastAsia="宋体" w:cs="Times New Roman"/>
                      <w:b/>
                      <w:bCs/>
                      <w:snapToGrid/>
                      <w:color w:val="000000" w:themeColor="text1"/>
                      <w:kern w:val="0"/>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bCs/>
                      <w:snapToGrid/>
                      <w:color w:val="000000" w:themeColor="text1"/>
                      <w:kern w:val="0"/>
                      <w:sz w:val="21"/>
                      <w:szCs w:val="21"/>
                      <w:vertAlign w:val="baseline"/>
                      <w:lang w:val="en-US" w:eastAsia="zh-CN" w:bidi="ar-SA"/>
                      <w14:textFill>
                        <w14:solidFill>
                          <w14:schemeClr w14:val="tx1"/>
                        </w14:solidFill>
                      </w14:textFill>
                    </w:rPr>
                    <w:t>项目</w:t>
                  </w:r>
                </w:p>
              </w:tc>
              <w:tc>
                <w:tcPr>
                  <w:tcW w:w="7176" w:type="dxa"/>
                  <w:vAlign w:val="center"/>
                </w:tcPr>
                <w:p w14:paraId="796CE877">
                  <w:pPr>
                    <w:widowControl/>
                    <w:kinsoku/>
                    <w:autoSpaceDE/>
                    <w:autoSpaceDN/>
                    <w:adjustRightInd/>
                    <w:snapToGrid/>
                    <w:spacing w:line="240" w:lineRule="auto"/>
                    <w:jc w:val="center"/>
                    <w:textAlignment w:val="auto"/>
                    <w:rPr>
                      <w:rFonts w:hint="default" w:ascii="Times New Roman" w:hAnsi="Times New Roman" w:eastAsia="宋体" w:cs="Times New Roman"/>
                      <w:b/>
                      <w:bCs/>
                      <w:snapToGrid/>
                      <w:color w:val="000000" w:themeColor="text1"/>
                      <w:kern w:val="0"/>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bCs/>
                      <w:snapToGrid/>
                      <w:color w:val="000000" w:themeColor="text1"/>
                      <w:kern w:val="0"/>
                      <w:sz w:val="21"/>
                      <w:szCs w:val="21"/>
                      <w:vertAlign w:val="baseline"/>
                      <w:lang w:val="en-US" w:eastAsia="zh-CN" w:bidi="ar-SA"/>
                      <w14:textFill>
                        <w14:solidFill>
                          <w14:schemeClr w14:val="tx1"/>
                        </w14:solidFill>
                      </w14:textFill>
                    </w:rPr>
                    <w:t>频次</w:t>
                  </w:r>
                </w:p>
              </w:tc>
            </w:tr>
            <w:tr w14:paraId="3EEC8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3" w:type="dxa"/>
                  <w:vAlign w:val="center"/>
                </w:tcPr>
                <w:p w14:paraId="58BAD63F">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工频磁场</w:t>
                  </w:r>
                </w:p>
              </w:tc>
              <w:tc>
                <w:tcPr>
                  <w:tcW w:w="7176" w:type="dxa"/>
                  <w:vMerge w:val="restart"/>
                  <w:vAlign w:val="center"/>
                </w:tcPr>
                <w:p w14:paraId="153AAEBD">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在输变电工程正常运行时间内进行监测，每个监测点连续测5次，每次监测时间不小于15秒，并读取稳定状态的最大值。若仪器读数起伏较大时，应适当延长监测时间。求出每个监测位置的5次读数的算术平均值作为监测结果</w:t>
                  </w:r>
                </w:p>
              </w:tc>
            </w:tr>
            <w:tr w14:paraId="4B4EA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3" w:type="dxa"/>
                  <w:vAlign w:val="center"/>
                </w:tcPr>
                <w:p w14:paraId="4C6A221C">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t>工频电场</w:t>
                  </w:r>
                </w:p>
              </w:tc>
              <w:tc>
                <w:tcPr>
                  <w:tcW w:w="7176" w:type="dxa"/>
                  <w:vMerge w:val="continue"/>
                  <w:vAlign w:val="center"/>
                </w:tcPr>
                <w:p w14:paraId="586F11F6">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themeColor="text1"/>
                      <w:kern w:val="0"/>
                      <w:sz w:val="21"/>
                      <w:szCs w:val="21"/>
                      <w:vertAlign w:val="baseline"/>
                      <w:lang w:val="en-US" w:eastAsia="zh-CN" w:bidi="ar-SA"/>
                      <w14:textFill>
                        <w14:solidFill>
                          <w14:schemeClr w14:val="tx1"/>
                        </w14:solidFill>
                      </w14:textFill>
                    </w:rPr>
                  </w:pPr>
                </w:p>
              </w:tc>
            </w:tr>
          </w:tbl>
          <w:p w14:paraId="0FB44629">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p>
        </w:tc>
      </w:tr>
      <w:tr w14:paraId="4B6CE7C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041" w:hRule="atLeast"/>
          <w:jc w:val="center"/>
        </w:trPr>
        <w:tc>
          <w:tcPr>
            <w:tcW w:w="5000" w:type="pct"/>
            <w:tcBorders>
              <w:tl2br w:val="nil"/>
              <w:tr2bl w:val="nil"/>
            </w:tcBorders>
            <w:vAlign w:val="top"/>
          </w:tcPr>
          <w:p w14:paraId="082FEECB">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bCs/>
                <w:snapToGrid/>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bCs/>
                <w:snapToGrid/>
                <w:color w:val="000000" w:themeColor="text1"/>
                <w:kern w:val="0"/>
                <w:sz w:val="24"/>
                <w:szCs w:val="24"/>
                <w:lang w:val="en-US" w:eastAsia="zh-CN" w:bidi="ar-SA"/>
                <w14:textFill>
                  <w14:solidFill>
                    <w14:schemeClr w14:val="tx1"/>
                  </w14:solidFill>
                </w14:textFill>
              </w:rPr>
              <w:t>监测方法及监测布点</w:t>
            </w:r>
          </w:p>
          <w:p w14:paraId="3EE58779">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eastAsia="宋体" w:cs="Times New Roman"/>
                <w:b/>
                <w:bCs/>
                <w:snapToGrid/>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bCs/>
                <w:snapToGrid/>
                <w:color w:val="000000" w:themeColor="text1"/>
                <w:kern w:val="0"/>
                <w:sz w:val="24"/>
                <w:szCs w:val="24"/>
                <w:lang w:val="en-US" w:eastAsia="zh-CN" w:bidi="ar-SA"/>
                <w14:textFill>
                  <w14:solidFill>
                    <w14:schemeClr w14:val="tx1"/>
                  </w14:solidFill>
                </w14:textFill>
              </w:rPr>
              <w:t>1、监测方法</w:t>
            </w:r>
          </w:p>
          <w:p w14:paraId="550CFF03">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《辐射环境保护管理导则-电测辐射监测仪器和方法》（HJ/T10.2-1996）；</w:t>
            </w:r>
          </w:p>
          <w:p w14:paraId="40FA11D9">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《辐射环境保护管理导则-电测辐射环境影响评价方法与标准》（HJ/T10.3-1996）；</w:t>
            </w:r>
          </w:p>
          <w:p w14:paraId="40E8830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《环境γ辐射剂量率测量技术规范》（HJ1157-2021）；</w:t>
            </w:r>
          </w:p>
          <w:p w14:paraId="425959D8">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《交流输变电工程电磁环境监测方法HJ681-2013）。</w:t>
            </w:r>
          </w:p>
          <w:p w14:paraId="37092320">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bCs/>
                <w:snapToGrid/>
                <w:color w:val="000000" w:themeColor="text1"/>
                <w:kern w:val="0"/>
                <w:sz w:val="24"/>
                <w:szCs w:val="24"/>
                <w:lang w:val="en-US" w:eastAsia="zh-CN" w:bidi="ar-SA"/>
                <w14:textFill>
                  <w14:solidFill>
                    <w14:schemeClr w14:val="tx1"/>
                  </w14:solidFill>
                </w14:textFill>
              </w:rPr>
              <w:t>2、监测布点</w:t>
            </w:r>
            <w:r>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w:t>
            </w:r>
          </w:p>
          <w:p w14:paraId="19C3BCEF">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升压站四周5m处，具体点位分布见图7-1</w:t>
            </w:r>
          </w:p>
        </w:tc>
      </w:tr>
      <w:tr w14:paraId="3296514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294" w:hRule="atLeast"/>
          <w:jc w:val="center"/>
        </w:trPr>
        <w:tc>
          <w:tcPr>
            <w:tcW w:w="5000" w:type="pct"/>
            <w:tcBorders>
              <w:tl2br w:val="nil"/>
              <w:tr2bl w:val="nil"/>
            </w:tcBorders>
            <w:vAlign w:val="top"/>
          </w:tcPr>
          <w:p w14:paraId="3E99CA05">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bCs/>
                <w:snapToGrid/>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bCs/>
                <w:snapToGrid/>
                <w:color w:val="000000" w:themeColor="text1"/>
                <w:kern w:val="0"/>
                <w:sz w:val="24"/>
                <w:szCs w:val="24"/>
                <w:lang w:val="en-US" w:eastAsia="zh-CN" w:bidi="ar-SA"/>
                <w14:textFill>
                  <w14:solidFill>
                    <w14:schemeClr w14:val="tx1"/>
                  </w14:solidFill>
                </w14:textFill>
              </w:rPr>
              <w:t>监测单位、监测时间、监测环境条件</w:t>
            </w:r>
          </w:p>
          <w:p w14:paraId="203CE568">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监测单位：合肥鑫鼎环保科技有限责任公司</w:t>
            </w:r>
          </w:p>
          <w:p w14:paraId="373C42A8">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napToGrid/>
                <w:color w:val="FF0000"/>
                <w:kern w:val="0"/>
                <w:sz w:val="24"/>
                <w:szCs w:val="24"/>
                <w:lang w:val="en-US" w:eastAsia="zh-CN" w:bidi="ar-SA"/>
              </w:rPr>
            </w:pPr>
            <w:r>
              <w:rPr>
                <w:rFonts w:hint="default" w:ascii="Times New Roman" w:hAnsi="Times New Roman" w:eastAsia="宋体" w:cs="Times New Roman"/>
                <w:snapToGrid/>
                <w:color w:val="000000" w:themeColor="text1"/>
                <w:kern w:val="0"/>
                <w:sz w:val="24"/>
                <w:szCs w:val="24"/>
                <w:lang w:val="en-US" w:eastAsia="zh-CN" w:bidi="ar-SA"/>
                <w14:textFill>
                  <w14:solidFill>
                    <w14:schemeClr w14:val="tx1"/>
                  </w14:solidFill>
                </w14:textFill>
              </w:rPr>
              <w:t>监测时间：2024年11月5日监测环境条件：天气-晴；温度10~16℃；相对湿度56~70%；风速0.5~1.5m/s</w:t>
            </w:r>
          </w:p>
        </w:tc>
      </w:tr>
      <w:tr w14:paraId="25E2070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295" w:hRule="atLeast"/>
          <w:jc w:val="center"/>
        </w:trPr>
        <w:tc>
          <w:tcPr>
            <w:tcW w:w="5000" w:type="pct"/>
            <w:tcBorders>
              <w:tl2br w:val="nil"/>
              <w:tr2bl w:val="nil"/>
            </w:tcBorders>
            <w:vAlign w:val="top"/>
          </w:tcPr>
          <w:p w14:paraId="53D094FF">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bCs/>
                <w:snapToGrid/>
                <w:color w:val="auto"/>
                <w:kern w:val="0"/>
                <w:sz w:val="24"/>
                <w:szCs w:val="24"/>
                <w:lang w:val="en-US" w:eastAsia="zh-CN" w:bidi="ar-SA"/>
              </w:rPr>
            </w:pPr>
            <w:r>
              <w:rPr>
                <w:rFonts w:hint="default" w:ascii="Times New Roman" w:hAnsi="Times New Roman" w:eastAsia="宋体" w:cs="Times New Roman"/>
                <w:b/>
                <w:bCs/>
                <w:snapToGrid/>
                <w:color w:val="auto"/>
                <w:kern w:val="0"/>
                <w:sz w:val="24"/>
                <w:szCs w:val="24"/>
                <w:lang w:val="en-US" w:eastAsia="zh-CN" w:bidi="ar-SA"/>
              </w:rPr>
              <w:t>监测仪器及工况</w:t>
            </w:r>
          </w:p>
          <w:p w14:paraId="0924CAC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snapToGrid/>
                <w:color w:val="auto"/>
                <w:kern w:val="0"/>
                <w:sz w:val="24"/>
                <w:szCs w:val="24"/>
                <w:vertAlign w:val="baseline"/>
                <w:lang w:val="en-US" w:eastAsia="zh-CN" w:bidi="ar-SA"/>
              </w:rPr>
            </w:pPr>
            <w:r>
              <w:rPr>
                <w:rFonts w:hint="default" w:ascii="Times New Roman" w:hAnsi="Times New Roman" w:eastAsia="宋体" w:cs="Times New Roman"/>
                <w:b/>
                <w:bCs/>
                <w:snapToGrid/>
                <w:color w:val="auto"/>
                <w:kern w:val="0"/>
                <w:sz w:val="24"/>
                <w:szCs w:val="24"/>
                <w:lang w:val="en-US" w:eastAsia="zh-CN" w:bidi="ar-SA"/>
              </w:rPr>
              <w:t>表7.2监测仪器及工况表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8"/>
              <w:gridCol w:w="1138"/>
              <w:gridCol w:w="1212"/>
              <w:gridCol w:w="3525"/>
              <w:gridCol w:w="1726"/>
            </w:tblGrid>
            <w:tr w14:paraId="4FC52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Align w:val="center"/>
                </w:tcPr>
                <w:p w14:paraId="25D1A73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snapToGrid/>
                      <w:color w:val="FF0000"/>
                      <w:kern w:val="0"/>
                      <w:sz w:val="21"/>
                      <w:szCs w:val="21"/>
                      <w:vertAlign w:val="baseline"/>
                      <w:lang w:val="en-US" w:eastAsia="zh-CN" w:bidi="ar-SA"/>
                    </w:rPr>
                  </w:pPr>
                  <w:r>
                    <w:rPr>
                      <w:rFonts w:hint="default" w:ascii="Times New Roman" w:hAnsi="Times New Roman" w:eastAsia="宋体" w:cs="Times New Roman"/>
                      <w:b/>
                      <w:bCs/>
                      <w:sz w:val="21"/>
                      <w:szCs w:val="21"/>
                    </w:rPr>
                    <w:t>仪器名称</w:t>
                  </w:r>
                </w:p>
              </w:tc>
              <w:tc>
                <w:tcPr>
                  <w:tcW w:w="686" w:type="pct"/>
                  <w:vAlign w:val="center"/>
                </w:tcPr>
                <w:p w14:paraId="1E3DDD1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snapToGrid/>
                      <w:color w:val="FF0000"/>
                      <w:kern w:val="0"/>
                      <w:sz w:val="21"/>
                      <w:szCs w:val="21"/>
                      <w:vertAlign w:val="baseline"/>
                      <w:lang w:val="en-US" w:eastAsia="zh-CN" w:bidi="ar-SA"/>
                    </w:rPr>
                  </w:pPr>
                  <w:r>
                    <w:rPr>
                      <w:rFonts w:hint="default" w:ascii="Times New Roman" w:hAnsi="Times New Roman" w:eastAsia="宋体" w:cs="Times New Roman"/>
                      <w:b/>
                      <w:bCs/>
                      <w:sz w:val="21"/>
                      <w:szCs w:val="21"/>
                    </w:rPr>
                    <w:t>型号</w:t>
                  </w:r>
                </w:p>
              </w:tc>
              <w:tc>
                <w:tcPr>
                  <w:tcW w:w="731" w:type="pct"/>
                  <w:vAlign w:val="center"/>
                </w:tcPr>
                <w:p w14:paraId="2644696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snapToGrid/>
                      <w:color w:val="FF0000"/>
                      <w:kern w:val="0"/>
                      <w:sz w:val="21"/>
                      <w:szCs w:val="21"/>
                      <w:vertAlign w:val="baseline"/>
                      <w:lang w:val="en-US" w:eastAsia="zh-CN" w:bidi="ar-SA"/>
                    </w:rPr>
                  </w:pPr>
                  <w:r>
                    <w:rPr>
                      <w:rFonts w:hint="default" w:ascii="Times New Roman" w:hAnsi="Times New Roman" w:eastAsia="宋体" w:cs="Times New Roman"/>
                      <w:b/>
                      <w:bCs/>
                      <w:sz w:val="21"/>
                      <w:szCs w:val="21"/>
                    </w:rPr>
                    <w:t>出厂编号</w:t>
                  </w:r>
                </w:p>
              </w:tc>
              <w:tc>
                <w:tcPr>
                  <w:tcW w:w="2126" w:type="pct"/>
                  <w:vAlign w:val="center"/>
                </w:tcPr>
                <w:p w14:paraId="0F9F542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snapToGrid/>
                      <w:color w:val="FF0000"/>
                      <w:kern w:val="0"/>
                      <w:sz w:val="21"/>
                      <w:szCs w:val="21"/>
                      <w:vertAlign w:val="baseline"/>
                      <w:lang w:val="en-US" w:eastAsia="zh-CN" w:bidi="ar-SA"/>
                    </w:rPr>
                  </w:pPr>
                  <w:r>
                    <w:rPr>
                      <w:rFonts w:hint="default" w:ascii="Times New Roman" w:hAnsi="Times New Roman" w:eastAsia="宋体" w:cs="Times New Roman"/>
                      <w:b/>
                      <w:bCs/>
                      <w:sz w:val="21"/>
                      <w:szCs w:val="21"/>
                    </w:rPr>
                    <w:t>技术指标</w:t>
                  </w:r>
                </w:p>
              </w:tc>
              <w:tc>
                <w:tcPr>
                  <w:tcW w:w="1041" w:type="pct"/>
                  <w:vAlign w:val="center"/>
                </w:tcPr>
                <w:p w14:paraId="64D9524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校准/检定</w:t>
                  </w:r>
                </w:p>
                <w:p w14:paraId="39F9769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snapToGrid/>
                      <w:color w:val="FF0000"/>
                      <w:kern w:val="0"/>
                      <w:sz w:val="21"/>
                      <w:szCs w:val="21"/>
                      <w:vertAlign w:val="baseline"/>
                      <w:lang w:val="en-US" w:eastAsia="zh-CN" w:bidi="ar-SA"/>
                    </w:rPr>
                  </w:pPr>
                  <w:r>
                    <w:rPr>
                      <w:rFonts w:hint="default" w:ascii="Times New Roman" w:hAnsi="Times New Roman" w:eastAsia="宋体" w:cs="Times New Roman"/>
                      <w:b/>
                      <w:bCs/>
                      <w:sz w:val="21"/>
                      <w:szCs w:val="21"/>
                    </w:rPr>
                    <w:t>证书号及有效期</w:t>
                  </w:r>
                </w:p>
              </w:tc>
            </w:tr>
            <w:tr w14:paraId="439FE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vAlign w:val="center"/>
                </w:tcPr>
                <w:p w14:paraId="46FF2DC7">
                  <w:pPr>
                    <w:keepNext w:val="0"/>
                    <w:keepLines w:val="0"/>
                    <w:pageBreakBefore w:val="0"/>
                    <w:widowControl w:val="0"/>
                    <w:wordWrap/>
                    <w:overflowPunct/>
                    <w:topLinePunct w:val="0"/>
                    <w:bidi w:val="0"/>
                    <w:adjustRightInd w:val="0"/>
                    <w:snapToGrid w:val="0"/>
                    <w:ind w:left="0" w:leftChars="0" w:right="0" w:rightChars="0" w:firstLine="0" w:firstLineChars="0"/>
                    <w:jc w:val="center"/>
                    <w:rPr>
                      <w:rFonts w:hint="default" w:ascii="Times New Roman" w:hAnsi="Times New Roman" w:eastAsia="宋体" w:cs="Times New Roman"/>
                      <w:snapToGrid/>
                      <w:color w:val="FF0000"/>
                      <w:kern w:val="0"/>
                      <w:sz w:val="21"/>
                      <w:szCs w:val="21"/>
                      <w:vertAlign w:val="baseline"/>
                      <w:lang w:val="en-US" w:eastAsia="zh-CN" w:bidi="ar-SA"/>
                    </w:rPr>
                  </w:pPr>
                  <w:r>
                    <w:rPr>
                      <w:rFonts w:hint="default" w:ascii="Times New Roman" w:hAnsi="Times New Roman" w:eastAsia="宋体" w:cs="Times New Roman"/>
                      <w:kern w:val="2"/>
                      <w:sz w:val="21"/>
                      <w:szCs w:val="21"/>
                      <w:highlight w:val="none"/>
                      <w:lang w:val="en-US" w:eastAsia="zh-CN" w:bidi="ar-SA"/>
                    </w:rPr>
                    <w:t>电磁辐射检测仪</w:t>
                  </w:r>
                </w:p>
              </w:tc>
              <w:tc>
                <w:tcPr>
                  <w:tcW w:w="686" w:type="pct"/>
                  <w:vAlign w:val="center"/>
                </w:tcPr>
                <w:p w14:paraId="40807BE6">
                  <w:pPr>
                    <w:keepNext w:val="0"/>
                    <w:keepLines w:val="0"/>
                    <w:pageBreakBefore w:val="0"/>
                    <w:widowControl w:val="0"/>
                    <w:wordWrap/>
                    <w:overflowPunct/>
                    <w:topLinePunct w:val="0"/>
                    <w:bidi w:val="0"/>
                    <w:adjustRightInd w:val="0"/>
                    <w:snapToGrid w:val="0"/>
                    <w:ind w:left="0" w:leftChars="0" w:right="0" w:rightChars="0"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NBM-550/</w:t>
                  </w:r>
                </w:p>
                <w:p w14:paraId="7DE0D023">
                  <w:pPr>
                    <w:keepNext w:val="0"/>
                    <w:keepLines w:val="0"/>
                    <w:pageBreakBefore w:val="0"/>
                    <w:widowControl w:val="0"/>
                    <w:wordWrap/>
                    <w:overflowPunct/>
                    <w:topLinePunct w:val="0"/>
                    <w:bidi w:val="0"/>
                    <w:adjustRightInd w:val="0"/>
                    <w:snapToGrid w:val="0"/>
                    <w:ind w:left="0" w:leftChars="0" w:right="0" w:rightChars="0" w:firstLine="0" w:firstLineChars="0"/>
                    <w:jc w:val="center"/>
                    <w:rPr>
                      <w:rFonts w:hint="default" w:ascii="Times New Roman" w:hAnsi="Times New Roman" w:eastAsia="宋体" w:cs="Times New Roman"/>
                      <w:snapToGrid/>
                      <w:color w:val="FF0000"/>
                      <w:kern w:val="0"/>
                      <w:sz w:val="21"/>
                      <w:szCs w:val="21"/>
                      <w:vertAlign w:val="baseline"/>
                      <w:lang w:val="en-US" w:eastAsia="zh-CN" w:bidi="ar-SA"/>
                    </w:rPr>
                  </w:pPr>
                  <w:r>
                    <w:rPr>
                      <w:rFonts w:hint="default" w:ascii="Times New Roman" w:hAnsi="Times New Roman" w:eastAsia="宋体" w:cs="Times New Roman"/>
                      <w:kern w:val="2"/>
                      <w:sz w:val="21"/>
                      <w:szCs w:val="21"/>
                      <w:highlight w:val="none"/>
                      <w:lang w:val="en-US" w:eastAsia="zh-CN" w:bidi="ar-SA"/>
                    </w:rPr>
                    <w:t>EHP-50F</w:t>
                  </w:r>
                </w:p>
              </w:tc>
              <w:tc>
                <w:tcPr>
                  <w:tcW w:w="731" w:type="pct"/>
                  <w:vAlign w:val="center"/>
                </w:tcPr>
                <w:p w14:paraId="6A2C8D0F">
                  <w:pPr>
                    <w:keepNext w:val="0"/>
                    <w:keepLines w:val="0"/>
                    <w:pageBreakBefore w:val="0"/>
                    <w:widowControl w:val="0"/>
                    <w:wordWrap/>
                    <w:overflowPunct/>
                    <w:topLinePunct w:val="0"/>
                    <w:bidi w:val="0"/>
                    <w:adjustRightInd w:val="0"/>
                    <w:snapToGrid w:val="0"/>
                    <w:ind w:left="0" w:leftChars="0" w:right="0" w:rightChars="0" w:firstLine="0" w:firstLineChars="0"/>
                    <w:jc w:val="center"/>
                    <w:rPr>
                      <w:rFonts w:hint="default" w:ascii="Times New Roman" w:hAnsi="Times New Roman" w:eastAsia="宋体" w:cs="Times New Roman"/>
                      <w:snapToGrid/>
                      <w:color w:val="FF0000"/>
                      <w:kern w:val="0"/>
                      <w:sz w:val="21"/>
                      <w:szCs w:val="21"/>
                      <w:vertAlign w:val="baseline"/>
                      <w:lang w:val="en-US" w:eastAsia="zh-CN" w:bidi="ar-SA"/>
                    </w:rPr>
                  </w:pPr>
                  <w:r>
                    <w:rPr>
                      <w:rFonts w:hint="default" w:ascii="Times New Roman" w:hAnsi="Times New Roman" w:eastAsia="宋体" w:cs="Times New Roman"/>
                      <w:kern w:val="2"/>
                      <w:sz w:val="21"/>
                      <w:szCs w:val="21"/>
                      <w:highlight w:val="none"/>
                      <w:lang w:val="en-US" w:eastAsia="zh-CN" w:bidi="ar-SA"/>
                    </w:rPr>
                    <w:t>H-0401/000WX50614</w:t>
                  </w:r>
                </w:p>
              </w:tc>
              <w:tc>
                <w:tcPr>
                  <w:tcW w:w="2126" w:type="pct"/>
                  <w:vAlign w:val="center"/>
                </w:tcPr>
                <w:p w14:paraId="0B037E36">
                  <w:pPr>
                    <w:keepNext w:val="0"/>
                    <w:keepLines w:val="0"/>
                    <w:pageBreakBefore w:val="0"/>
                    <w:widowControl w:val="0"/>
                    <w:wordWrap/>
                    <w:overflowPunct/>
                    <w:topLinePunct w:val="0"/>
                    <w:bidi w:val="0"/>
                    <w:adjustRightInd w:val="0"/>
                    <w:snapToGrid w:val="0"/>
                    <w:ind w:left="0" w:leftChars="0" w:right="0" w:rightChars="0"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探头频率响应范围：1Hz～400kHz</w:t>
                  </w:r>
                </w:p>
                <w:p w14:paraId="5ED62398">
                  <w:pPr>
                    <w:keepNext w:val="0"/>
                    <w:keepLines w:val="0"/>
                    <w:pageBreakBefore w:val="0"/>
                    <w:widowControl w:val="0"/>
                    <w:wordWrap/>
                    <w:overflowPunct/>
                    <w:topLinePunct w:val="0"/>
                    <w:bidi w:val="0"/>
                    <w:adjustRightInd w:val="0"/>
                    <w:snapToGrid w:val="0"/>
                    <w:ind w:left="0" w:leftChars="0" w:right="0" w:rightChars="0"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探头量程：</w:t>
                  </w:r>
                </w:p>
                <w:p w14:paraId="382ECED6">
                  <w:pPr>
                    <w:keepNext w:val="0"/>
                    <w:keepLines w:val="0"/>
                    <w:pageBreakBefore w:val="0"/>
                    <w:widowControl w:val="0"/>
                    <w:wordWrap/>
                    <w:overflowPunct/>
                    <w:topLinePunct w:val="0"/>
                    <w:bidi w:val="0"/>
                    <w:adjustRightInd w:val="0"/>
                    <w:snapToGrid w:val="0"/>
                    <w:ind w:left="0" w:leftChars="0" w:right="0" w:rightChars="0"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工频电场强度：5mV/m～1kV/m</w:t>
                  </w:r>
                </w:p>
                <w:p w14:paraId="336999A6">
                  <w:pPr>
                    <w:keepNext w:val="0"/>
                    <w:keepLines w:val="0"/>
                    <w:pageBreakBefore w:val="0"/>
                    <w:widowControl w:val="0"/>
                    <w:wordWrap/>
                    <w:overflowPunct/>
                    <w:topLinePunct w:val="0"/>
                    <w:bidi w:val="0"/>
                    <w:adjustRightInd w:val="0"/>
                    <w:snapToGrid w:val="0"/>
                    <w:ind w:left="0" w:leftChars="0" w:right="0" w:rightChars="0"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0.5V/m~100kV/m</w:t>
                  </w:r>
                </w:p>
                <w:p w14:paraId="3545BD1E">
                  <w:pPr>
                    <w:keepNext w:val="0"/>
                    <w:keepLines w:val="0"/>
                    <w:pageBreakBefore w:val="0"/>
                    <w:widowControl w:val="0"/>
                    <w:wordWrap/>
                    <w:overflowPunct/>
                    <w:topLinePunct w:val="0"/>
                    <w:bidi w:val="0"/>
                    <w:adjustRightInd w:val="0"/>
                    <w:snapToGrid w:val="0"/>
                    <w:ind w:left="0" w:leftChars="0" w:right="0" w:rightChars="0"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工频磁感应强度：0.3nT～100μT</w:t>
                  </w:r>
                </w:p>
                <w:p w14:paraId="2E0ADE4A">
                  <w:pPr>
                    <w:keepNext w:val="0"/>
                    <w:keepLines w:val="0"/>
                    <w:pageBreakBefore w:val="0"/>
                    <w:widowControl w:val="0"/>
                    <w:wordWrap/>
                    <w:overflowPunct/>
                    <w:topLinePunct w:val="0"/>
                    <w:bidi w:val="0"/>
                    <w:adjustRightInd w:val="0"/>
                    <w:snapToGrid w:val="0"/>
                    <w:ind w:left="0" w:leftChars="0" w:right="0" w:rightChars="0" w:firstLine="0" w:firstLineChars="0"/>
                    <w:jc w:val="center"/>
                    <w:rPr>
                      <w:rFonts w:hint="default" w:ascii="Times New Roman" w:hAnsi="Times New Roman" w:eastAsia="宋体" w:cs="Times New Roman"/>
                      <w:snapToGrid/>
                      <w:color w:val="FF0000"/>
                      <w:kern w:val="0"/>
                      <w:sz w:val="21"/>
                      <w:szCs w:val="21"/>
                      <w:vertAlign w:val="baseline"/>
                      <w:lang w:val="en-US" w:eastAsia="zh-CN" w:bidi="ar-SA"/>
                    </w:rPr>
                  </w:pPr>
                  <w:r>
                    <w:rPr>
                      <w:rFonts w:hint="default" w:ascii="Times New Roman" w:hAnsi="Times New Roman" w:eastAsia="宋体" w:cs="Times New Roman"/>
                      <w:kern w:val="2"/>
                      <w:sz w:val="21"/>
                      <w:szCs w:val="21"/>
                      <w:highlight w:val="none"/>
                      <w:lang w:val="en-US" w:eastAsia="zh-CN" w:bidi="ar-SA"/>
                    </w:rPr>
                    <w:t>30nT~10mT</w:t>
                  </w:r>
                </w:p>
              </w:tc>
              <w:tc>
                <w:tcPr>
                  <w:tcW w:w="1041" w:type="pct"/>
                  <w:vAlign w:val="center"/>
                </w:tcPr>
                <w:p w14:paraId="484C0D30">
                  <w:pPr>
                    <w:keepNext w:val="0"/>
                    <w:keepLines w:val="0"/>
                    <w:pageBreakBefore w:val="0"/>
                    <w:widowControl w:val="0"/>
                    <w:wordWrap/>
                    <w:overflowPunct/>
                    <w:topLinePunct w:val="0"/>
                    <w:bidi w:val="0"/>
                    <w:adjustRightInd w:val="0"/>
                    <w:snapToGrid w:val="0"/>
                    <w:ind w:left="0" w:leftChars="0" w:right="0" w:rightChars="0"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E2024-0003201</w:t>
                  </w:r>
                </w:p>
                <w:p w14:paraId="5BC524AB">
                  <w:pPr>
                    <w:keepNext w:val="0"/>
                    <w:keepLines w:val="0"/>
                    <w:pageBreakBefore w:val="0"/>
                    <w:widowControl w:val="0"/>
                    <w:wordWrap/>
                    <w:overflowPunct/>
                    <w:topLinePunct w:val="0"/>
                    <w:bidi w:val="0"/>
                    <w:adjustRightInd w:val="0"/>
                    <w:snapToGrid w:val="0"/>
                    <w:ind w:left="0" w:leftChars="0" w:right="0" w:rightChars="0" w:firstLine="0" w:firstLineChars="0"/>
                    <w:jc w:val="center"/>
                    <w:rPr>
                      <w:rFonts w:hint="default" w:ascii="Times New Roman" w:hAnsi="Times New Roman" w:eastAsia="宋体" w:cs="Times New Roman"/>
                      <w:snapToGrid/>
                      <w:color w:val="FF0000"/>
                      <w:kern w:val="0"/>
                      <w:sz w:val="21"/>
                      <w:szCs w:val="21"/>
                      <w:vertAlign w:val="baseline"/>
                      <w:lang w:val="en-US" w:eastAsia="zh-CN" w:bidi="ar-SA"/>
                    </w:rPr>
                  </w:pPr>
                  <w:r>
                    <w:rPr>
                      <w:rFonts w:hint="default" w:ascii="Times New Roman" w:hAnsi="Times New Roman" w:eastAsia="宋体" w:cs="Times New Roman"/>
                      <w:kern w:val="2"/>
                      <w:sz w:val="21"/>
                      <w:szCs w:val="21"/>
                      <w:highlight w:val="none"/>
                      <w:lang w:val="en-US" w:eastAsia="zh-CN" w:bidi="ar-SA"/>
                    </w:rPr>
                    <w:t>有效期至2025年1月16日</w:t>
                  </w:r>
                </w:p>
              </w:tc>
            </w:tr>
          </w:tbl>
          <w:p w14:paraId="1692887D">
            <w:pPr>
              <w:keepNext w:val="0"/>
              <w:keepLines w:val="0"/>
              <w:pageBreakBefore w:val="0"/>
              <w:widowControl/>
              <w:kinsoku/>
              <w:wordWrap/>
              <w:overflowPunct/>
              <w:topLinePunct w:val="0"/>
              <w:autoSpaceDE/>
              <w:autoSpaceDN/>
              <w:bidi w:val="0"/>
              <w:adjustRightInd/>
              <w:snapToGrid/>
              <w:spacing w:line="360" w:lineRule="auto"/>
              <w:ind w:left="479" w:leftChars="228" w:firstLine="0" w:firstLineChars="0"/>
              <w:jc w:val="left"/>
              <w:textAlignment w:val="auto"/>
              <w:rPr>
                <w:rFonts w:hint="default" w:ascii="Times New Roman" w:hAnsi="Times New Roman" w:eastAsia="宋体" w:cs="Times New Roman"/>
                <w:snapToGrid/>
                <w:color w:val="FF0000"/>
                <w:kern w:val="0"/>
                <w:sz w:val="24"/>
                <w:szCs w:val="24"/>
                <w:lang w:val="en-US" w:eastAsia="zh-CN" w:bidi="ar-SA"/>
              </w:rPr>
            </w:pPr>
          </w:p>
        </w:tc>
      </w:tr>
      <w:tr w14:paraId="59007CA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295" w:hRule="atLeast"/>
          <w:jc w:val="center"/>
        </w:trPr>
        <w:tc>
          <w:tcPr>
            <w:tcW w:w="5000" w:type="pct"/>
            <w:tcBorders>
              <w:tl2br w:val="nil"/>
              <w:tr2bl w:val="nil"/>
            </w:tcBorders>
            <w:vAlign w:val="top"/>
          </w:tcPr>
          <w:p w14:paraId="7FFCE152">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bCs/>
                <w:snapToGrid/>
                <w:color w:val="auto"/>
                <w:kern w:val="0"/>
                <w:sz w:val="24"/>
                <w:szCs w:val="24"/>
                <w:lang w:val="en-US" w:eastAsia="zh-CN" w:bidi="ar-SA"/>
              </w:rPr>
            </w:pPr>
            <w:r>
              <w:rPr>
                <w:rFonts w:hint="default" w:ascii="Times New Roman" w:hAnsi="Times New Roman" w:eastAsia="宋体" w:cs="Times New Roman"/>
                <w:b/>
                <w:bCs/>
                <w:snapToGrid/>
                <w:color w:val="auto"/>
                <w:kern w:val="0"/>
                <w:sz w:val="24"/>
                <w:szCs w:val="24"/>
                <w:lang w:val="en-US" w:eastAsia="zh-CN" w:bidi="ar-SA"/>
              </w:rPr>
              <w:t>监测结果分析</w:t>
            </w:r>
          </w:p>
          <w:p w14:paraId="60B5E67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snapToGrid/>
                <w:color w:val="auto"/>
                <w:kern w:val="0"/>
                <w:sz w:val="24"/>
                <w:szCs w:val="24"/>
                <w:lang w:val="en-US" w:eastAsia="zh-CN" w:bidi="ar-SA"/>
              </w:rPr>
            </w:pPr>
            <w:r>
              <w:rPr>
                <w:rFonts w:hint="default" w:ascii="Times New Roman" w:hAnsi="Times New Roman" w:eastAsia="宋体" w:cs="Times New Roman"/>
                <w:b/>
                <w:bCs/>
                <w:snapToGrid/>
                <w:color w:val="auto"/>
                <w:kern w:val="0"/>
                <w:sz w:val="24"/>
                <w:szCs w:val="24"/>
                <w:lang w:val="en-US" w:eastAsia="zh-CN" w:bidi="ar-SA"/>
              </w:rPr>
              <w:t>表7.3监测结果一览表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970"/>
              <w:gridCol w:w="3381"/>
              <w:gridCol w:w="1436"/>
              <w:gridCol w:w="1533"/>
            </w:tblGrid>
            <w:tr w14:paraId="0F567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584" w:type="pct"/>
                  <w:tcBorders>
                    <w:tl2br w:val="nil"/>
                    <w:tr2bl w:val="nil"/>
                  </w:tcBorders>
                  <w:noWrap w:val="0"/>
                  <w:vAlign w:val="center"/>
                </w:tcPr>
                <w:p w14:paraId="2E3A706D">
                  <w:pPr>
                    <w:pStyle w:val="6"/>
                    <w:keepNext w:val="0"/>
                    <w:keepLines w:val="0"/>
                    <w:pageBreakBefore w:val="0"/>
                    <w:widowControl/>
                    <w:kinsoku w:val="0"/>
                    <w:wordWrap/>
                    <w:overflowPunct/>
                    <w:topLinePunct w:val="0"/>
                    <w:autoSpaceDE w:val="0"/>
                    <w:autoSpaceDN w:val="0"/>
                    <w:bidi w:val="0"/>
                    <w:adjustRightInd/>
                    <w:snapToGrid/>
                    <w:spacing w:after="0" w:afterLines="0" w:line="240" w:lineRule="auto"/>
                    <w:ind w:left="0" w:leftChars="0" w:right="0" w:rightChars="0" w:firstLine="0"/>
                    <w:jc w:val="center"/>
                    <w:textAlignment w:val="baseline"/>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检测</w:t>
                  </w:r>
                </w:p>
                <w:p w14:paraId="7777AA03">
                  <w:pPr>
                    <w:pStyle w:val="6"/>
                    <w:keepNext w:val="0"/>
                    <w:keepLines w:val="0"/>
                    <w:pageBreakBefore w:val="0"/>
                    <w:widowControl/>
                    <w:kinsoku w:val="0"/>
                    <w:wordWrap/>
                    <w:overflowPunct/>
                    <w:topLinePunct w:val="0"/>
                    <w:autoSpaceDE w:val="0"/>
                    <w:autoSpaceDN w:val="0"/>
                    <w:bidi w:val="0"/>
                    <w:adjustRightInd/>
                    <w:snapToGrid/>
                    <w:spacing w:after="0" w:afterLines="0" w:line="240" w:lineRule="auto"/>
                    <w:ind w:left="0" w:leftChars="0" w:right="0" w:rightChars="0" w:firstLine="0"/>
                    <w:jc w:val="center"/>
                    <w:textAlignment w:val="baseline"/>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lang w:val="en-US" w:eastAsia="zh-CN"/>
                    </w:rPr>
                    <w:t>时间</w:t>
                  </w:r>
                </w:p>
              </w:tc>
              <w:tc>
                <w:tcPr>
                  <w:tcW w:w="585" w:type="pct"/>
                  <w:tcBorders>
                    <w:tl2br w:val="nil"/>
                    <w:tr2bl w:val="nil"/>
                  </w:tcBorders>
                  <w:noWrap w:val="0"/>
                  <w:vAlign w:val="center"/>
                </w:tcPr>
                <w:p w14:paraId="16D8B1C3">
                  <w:pPr>
                    <w:pStyle w:val="6"/>
                    <w:keepNext w:val="0"/>
                    <w:keepLines w:val="0"/>
                    <w:pageBreakBefore w:val="0"/>
                    <w:widowControl/>
                    <w:kinsoku w:val="0"/>
                    <w:wordWrap/>
                    <w:overflowPunct/>
                    <w:topLinePunct w:val="0"/>
                    <w:autoSpaceDE w:val="0"/>
                    <w:autoSpaceDN w:val="0"/>
                    <w:bidi w:val="0"/>
                    <w:adjustRightInd/>
                    <w:snapToGrid/>
                    <w:spacing w:after="0" w:afterLines="0" w:line="240" w:lineRule="auto"/>
                    <w:ind w:left="0" w:leftChars="0" w:right="0" w:rightChars="0" w:firstLine="0" w:firstLineChars="0"/>
                    <w:jc w:val="center"/>
                    <w:textAlignment w:val="baseline"/>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检测点位序号</w:t>
                  </w:r>
                </w:p>
              </w:tc>
              <w:tc>
                <w:tcPr>
                  <w:tcW w:w="2039" w:type="pct"/>
                  <w:tcBorders>
                    <w:tl2br w:val="nil"/>
                    <w:tr2bl w:val="nil"/>
                  </w:tcBorders>
                  <w:noWrap w:val="0"/>
                  <w:vAlign w:val="center"/>
                </w:tcPr>
                <w:p w14:paraId="4FA77120">
                  <w:pPr>
                    <w:pStyle w:val="6"/>
                    <w:keepNext w:val="0"/>
                    <w:keepLines w:val="0"/>
                    <w:pageBreakBefore w:val="0"/>
                    <w:widowControl/>
                    <w:kinsoku w:val="0"/>
                    <w:wordWrap/>
                    <w:overflowPunct/>
                    <w:topLinePunct w:val="0"/>
                    <w:autoSpaceDE w:val="0"/>
                    <w:autoSpaceDN w:val="0"/>
                    <w:bidi w:val="0"/>
                    <w:adjustRightInd/>
                    <w:snapToGrid/>
                    <w:spacing w:after="0" w:afterLines="0" w:line="240" w:lineRule="auto"/>
                    <w:ind w:left="0" w:leftChars="0" w:right="0" w:rightChars="0" w:firstLine="0"/>
                    <w:jc w:val="center"/>
                    <w:textAlignment w:val="baseline"/>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监测点位置</w:t>
                  </w:r>
                </w:p>
              </w:tc>
              <w:tc>
                <w:tcPr>
                  <w:tcW w:w="866" w:type="pct"/>
                  <w:tcBorders>
                    <w:tl2br w:val="nil"/>
                    <w:tr2bl w:val="nil"/>
                  </w:tcBorders>
                  <w:noWrap w:val="0"/>
                  <w:vAlign w:val="center"/>
                </w:tcPr>
                <w:p w14:paraId="52FF85D8">
                  <w:pPr>
                    <w:pStyle w:val="6"/>
                    <w:keepNext w:val="0"/>
                    <w:keepLines w:val="0"/>
                    <w:pageBreakBefore w:val="0"/>
                    <w:widowControl/>
                    <w:kinsoku w:val="0"/>
                    <w:wordWrap/>
                    <w:overflowPunct/>
                    <w:topLinePunct w:val="0"/>
                    <w:autoSpaceDE w:val="0"/>
                    <w:autoSpaceDN w:val="0"/>
                    <w:bidi w:val="0"/>
                    <w:adjustRightInd/>
                    <w:snapToGrid/>
                    <w:spacing w:after="0" w:afterLines="0" w:line="240" w:lineRule="auto"/>
                    <w:ind w:left="0" w:leftChars="0" w:right="0" w:rightChars="0" w:firstLine="0"/>
                    <w:jc w:val="center"/>
                    <w:textAlignment w:val="baseline"/>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工频电场强度（V/m）</w:t>
                  </w:r>
                </w:p>
              </w:tc>
              <w:tc>
                <w:tcPr>
                  <w:tcW w:w="924" w:type="pct"/>
                  <w:tcBorders>
                    <w:tl2br w:val="nil"/>
                    <w:tr2bl w:val="nil"/>
                  </w:tcBorders>
                  <w:noWrap w:val="0"/>
                  <w:vAlign w:val="center"/>
                </w:tcPr>
                <w:p w14:paraId="44EBF41D">
                  <w:pPr>
                    <w:pStyle w:val="6"/>
                    <w:keepNext w:val="0"/>
                    <w:keepLines w:val="0"/>
                    <w:pageBreakBefore w:val="0"/>
                    <w:widowControl/>
                    <w:kinsoku w:val="0"/>
                    <w:wordWrap/>
                    <w:overflowPunct/>
                    <w:topLinePunct w:val="0"/>
                    <w:autoSpaceDE w:val="0"/>
                    <w:autoSpaceDN w:val="0"/>
                    <w:bidi w:val="0"/>
                    <w:adjustRightInd/>
                    <w:snapToGrid/>
                    <w:spacing w:after="0" w:afterLines="0" w:line="240" w:lineRule="auto"/>
                    <w:ind w:left="0" w:leftChars="0" w:right="0" w:rightChars="0" w:firstLine="0"/>
                    <w:jc w:val="center"/>
                    <w:textAlignment w:val="baseline"/>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工频磁感应强度（μT）</w:t>
                  </w:r>
                </w:p>
              </w:tc>
            </w:tr>
            <w:tr w14:paraId="3A994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584" w:type="pct"/>
                  <w:vMerge w:val="restart"/>
                  <w:tcBorders>
                    <w:tl2br w:val="nil"/>
                    <w:tr2bl w:val="nil"/>
                  </w:tcBorders>
                  <w:noWrap w:val="0"/>
                  <w:vAlign w:val="center"/>
                </w:tcPr>
                <w:p w14:paraId="4C7E7C6D">
                  <w:pPr>
                    <w:keepNext w:val="0"/>
                    <w:keepLines w:val="0"/>
                    <w:pageBreakBefore w:val="0"/>
                    <w:widowControl/>
                    <w:kinsoku w:val="0"/>
                    <w:wordWrap/>
                    <w:overflowPunct/>
                    <w:topLinePunct w:val="0"/>
                    <w:autoSpaceDE w:val="0"/>
                    <w:autoSpaceDN w:val="0"/>
                    <w:bidi w:val="0"/>
                    <w:adjustRightInd/>
                    <w:snapToGrid/>
                    <w:ind w:left="0" w:leftChars="0" w:right="0" w:rightChars="0"/>
                    <w:jc w:val="center"/>
                    <w:textAlignment w:val="baseline"/>
                    <w:rPr>
                      <w:rFonts w:hint="default" w:ascii="Times New Roman" w:hAnsi="Times New Roman" w:eastAsia="宋体" w:cs="Times New Roman"/>
                      <w:szCs w:val="21"/>
                      <w:lang w:eastAsia="zh-CN"/>
                    </w:rPr>
                  </w:pPr>
                  <w:r>
                    <w:rPr>
                      <w:rFonts w:hint="default" w:ascii="Times New Roman" w:hAnsi="Times New Roman" w:eastAsia="宋体" w:cs="Times New Roman"/>
                      <w:szCs w:val="21"/>
                      <w:lang w:val="en-US" w:eastAsia="zh-CN"/>
                    </w:rPr>
                    <w:t>2024年11月5日</w:t>
                  </w:r>
                </w:p>
              </w:tc>
              <w:tc>
                <w:tcPr>
                  <w:tcW w:w="585" w:type="pct"/>
                  <w:tcBorders>
                    <w:tl2br w:val="nil"/>
                    <w:tr2bl w:val="nil"/>
                  </w:tcBorders>
                  <w:noWrap w:val="0"/>
                  <w:vAlign w:val="center"/>
                </w:tcPr>
                <w:p w14:paraId="1A379D05">
                  <w:pPr>
                    <w:keepNext w:val="0"/>
                    <w:keepLines w:val="0"/>
                    <w:pageBreakBefore w:val="0"/>
                    <w:widowControl/>
                    <w:kinsoku w:val="0"/>
                    <w:wordWrap/>
                    <w:overflowPunct/>
                    <w:topLinePunct w:val="0"/>
                    <w:autoSpaceDE w:val="0"/>
                    <w:autoSpaceDN w:val="0"/>
                    <w:bidi w:val="0"/>
                    <w:adjustRightInd/>
                    <w:snapToGrid/>
                    <w:ind w:left="0" w:leftChars="0" w:right="0" w:rightChars="0"/>
                    <w:jc w:val="center"/>
                    <w:textAlignment w:val="baseline"/>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w:t>
                  </w:r>
                </w:p>
              </w:tc>
              <w:tc>
                <w:tcPr>
                  <w:tcW w:w="2039" w:type="pct"/>
                  <w:tcBorders>
                    <w:tl2br w:val="nil"/>
                    <w:tr2bl w:val="nil"/>
                  </w:tcBorders>
                  <w:noWrap w:val="0"/>
                  <w:vAlign w:val="center"/>
                </w:tcPr>
                <w:p w14:paraId="4CC0A227">
                  <w:pPr>
                    <w:keepNext w:val="0"/>
                    <w:keepLines w:val="0"/>
                    <w:pageBreakBefore w:val="0"/>
                    <w:widowControl/>
                    <w:kinsoku w:val="0"/>
                    <w:wordWrap/>
                    <w:overflowPunct/>
                    <w:topLinePunct w:val="0"/>
                    <w:autoSpaceDE w:val="0"/>
                    <w:autoSpaceDN w:val="0"/>
                    <w:bidi w:val="0"/>
                    <w:adjustRightInd/>
                    <w:snapToGrid/>
                    <w:ind w:left="0" w:leftChars="0" w:right="0" w:rightChars="0"/>
                    <w:jc w:val="center"/>
                    <w:textAlignment w:val="baseline"/>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color w:val="auto"/>
                      <w:sz w:val="21"/>
                      <w:szCs w:val="21"/>
                      <w:lang w:val="en-US" w:eastAsia="zh-CN"/>
                    </w:rPr>
                    <w:t>颍上绿动风电场北侧围墙外5m处</w:t>
                  </w:r>
                </w:p>
              </w:tc>
              <w:tc>
                <w:tcPr>
                  <w:tcW w:w="866" w:type="pct"/>
                  <w:tcBorders>
                    <w:tl2br w:val="nil"/>
                    <w:tr2bl w:val="nil"/>
                  </w:tcBorders>
                  <w:noWrap w:val="0"/>
                  <w:vAlign w:val="center"/>
                </w:tcPr>
                <w:p w14:paraId="4FC3F067">
                  <w:pPr>
                    <w:keepNext w:val="0"/>
                    <w:keepLines w:val="0"/>
                    <w:pageBreakBefore w:val="0"/>
                    <w:widowControl/>
                    <w:kinsoku w:val="0"/>
                    <w:wordWrap/>
                    <w:overflowPunct/>
                    <w:topLinePunct w:val="0"/>
                    <w:autoSpaceDE w:val="0"/>
                    <w:autoSpaceDN w:val="0"/>
                    <w:bidi w:val="0"/>
                    <w:adjustRightInd/>
                    <w:snapToGrid/>
                    <w:ind w:left="0" w:leftChars="0" w:right="0" w:rightChars="0"/>
                    <w:jc w:val="center"/>
                    <w:textAlignment w:val="baseline"/>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10.7</w:t>
                  </w:r>
                </w:p>
              </w:tc>
              <w:tc>
                <w:tcPr>
                  <w:tcW w:w="924" w:type="pct"/>
                  <w:tcBorders>
                    <w:tl2br w:val="nil"/>
                    <w:tr2bl w:val="nil"/>
                  </w:tcBorders>
                  <w:noWrap w:val="0"/>
                  <w:vAlign w:val="center"/>
                </w:tcPr>
                <w:p w14:paraId="788B24EF">
                  <w:pPr>
                    <w:keepNext w:val="0"/>
                    <w:keepLines w:val="0"/>
                    <w:pageBreakBefore w:val="0"/>
                    <w:widowControl/>
                    <w:kinsoku w:val="0"/>
                    <w:wordWrap/>
                    <w:overflowPunct/>
                    <w:topLinePunct w:val="0"/>
                    <w:autoSpaceDE w:val="0"/>
                    <w:autoSpaceDN w:val="0"/>
                    <w:bidi w:val="0"/>
                    <w:adjustRightInd/>
                    <w:snapToGrid/>
                    <w:ind w:left="0" w:leftChars="0" w:right="0" w:rightChars="0"/>
                    <w:jc w:val="center"/>
                    <w:textAlignment w:val="baseline"/>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0.019</w:t>
                  </w:r>
                </w:p>
              </w:tc>
            </w:tr>
            <w:tr w14:paraId="68C2A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584" w:type="pct"/>
                  <w:vMerge w:val="continue"/>
                  <w:tcBorders>
                    <w:tl2br w:val="nil"/>
                    <w:tr2bl w:val="nil"/>
                  </w:tcBorders>
                  <w:noWrap w:val="0"/>
                  <w:vAlign w:val="center"/>
                </w:tcPr>
                <w:p w14:paraId="47089D15">
                  <w:pPr>
                    <w:keepNext w:val="0"/>
                    <w:keepLines w:val="0"/>
                    <w:pageBreakBefore w:val="0"/>
                    <w:widowControl/>
                    <w:kinsoku w:val="0"/>
                    <w:wordWrap/>
                    <w:overflowPunct/>
                    <w:topLinePunct w:val="0"/>
                    <w:autoSpaceDE w:val="0"/>
                    <w:autoSpaceDN w:val="0"/>
                    <w:bidi w:val="0"/>
                    <w:adjustRightInd/>
                    <w:snapToGrid/>
                    <w:ind w:left="0" w:leftChars="0" w:right="0" w:rightChars="0"/>
                    <w:jc w:val="center"/>
                    <w:textAlignment w:val="baseline"/>
                    <w:rPr>
                      <w:rFonts w:hint="default" w:ascii="Times New Roman" w:hAnsi="Times New Roman" w:eastAsia="宋体" w:cs="Times New Roman"/>
                      <w:szCs w:val="21"/>
                      <w:lang w:eastAsia="zh-CN"/>
                    </w:rPr>
                  </w:pPr>
                </w:p>
              </w:tc>
              <w:tc>
                <w:tcPr>
                  <w:tcW w:w="585" w:type="pct"/>
                  <w:tcBorders>
                    <w:tl2br w:val="nil"/>
                    <w:tr2bl w:val="nil"/>
                  </w:tcBorders>
                  <w:noWrap w:val="0"/>
                  <w:vAlign w:val="center"/>
                </w:tcPr>
                <w:p w14:paraId="1CFA29DD">
                  <w:pPr>
                    <w:keepNext w:val="0"/>
                    <w:keepLines w:val="0"/>
                    <w:pageBreakBefore w:val="0"/>
                    <w:widowControl/>
                    <w:kinsoku w:val="0"/>
                    <w:wordWrap/>
                    <w:overflowPunct/>
                    <w:topLinePunct w:val="0"/>
                    <w:autoSpaceDE w:val="0"/>
                    <w:autoSpaceDN w:val="0"/>
                    <w:bidi w:val="0"/>
                    <w:adjustRightInd/>
                    <w:snapToGrid/>
                    <w:ind w:left="0" w:leftChars="0" w:right="0" w:rightChars="0"/>
                    <w:jc w:val="center"/>
                    <w:textAlignment w:val="baseline"/>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w:t>
                  </w:r>
                </w:p>
              </w:tc>
              <w:tc>
                <w:tcPr>
                  <w:tcW w:w="2039" w:type="pct"/>
                  <w:tcBorders>
                    <w:tl2br w:val="nil"/>
                    <w:tr2bl w:val="nil"/>
                  </w:tcBorders>
                  <w:noWrap w:val="0"/>
                  <w:vAlign w:val="center"/>
                </w:tcPr>
                <w:p w14:paraId="45DB4B43">
                  <w:pPr>
                    <w:keepNext w:val="0"/>
                    <w:keepLines w:val="0"/>
                    <w:pageBreakBefore w:val="0"/>
                    <w:widowControl/>
                    <w:kinsoku w:val="0"/>
                    <w:wordWrap/>
                    <w:overflowPunct/>
                    <w:topLinePunct w:val="0"/>
                    <w:autoSpaceDE w:val="0"/>
                    <w:autoSpaceDN w:val="0"/>
                    <w:bidi w:val="0"/>
                    <w:adjustRightInd/>
                    <w:snapToGrid/>
                    <w:ind w:left="0" w:leftChars="0" w:right="0" w:rightChars="0"/>
                    <w:jc w:val="center"/>
                    <w:textAlignment w:val="baseline"/>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color w:val="auto"/>
                      <w:sz w:val="21"/>
                      <w:szCs w:val="21"/>
                      <w:lang w:val="en-US" w:eastAsia="zh-CN"/>
                    </w:rPr>
                    <w:t>颍上绿动风电场东侧围墙外5m处</w:t>
                  </w:r>
                </w:p>
              </w:tc>
              <w:tc>
                <w:tcPr>
                  <w:tcW w:w="866" w:type="pct"/>
                  <w:tcBorders>
                    <w:tl2br w:val="nil"/>
                    <w:tr2bl w:val="nil"/>
                  </w:tcBorders>
                  <w:noWrap w:val="0"/>
                  <w:vAlign w:val="center"/>
                </w:tcPr>
                <w:p w14:paraId="7122729D">
                  <w:pPr>
                    <w:keepNext w:val="0"/>
                    <w:keepLines w:val="0"/>
                    <w:pageBreakBefore w:val="0"/>
                    <w:widowControl/>
                    <w:kinsoku w:val="0"/>
                    <w:wordWrap/>
                    <w:overflowPunct/>
                    <w:topLinePunct w:val="0"/>
                    <w:autoSpaceDE w:val="0"/>
                    <w:autoSpaceDN w:val="0"/>
                    <w:bidi w:val="0"/>
                    <w:adjustRightInd/>
                    <w:snapToGrid/>
                    <w:ind w:left="0" w:leftChars="0" w:right="0" w:rightChars="0"/>
                    <w:jc w:val="center"/>
                    <w:textAlignment w:val="baseline"/>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kern w:val="2"/>
                      <w:sz w:val="21"/>
                      <w:szCs w:val="21"/>
                      <w:lang w:val="en-US" w:eastAsia="zh-CN" w:bidi="ar-SA"/>
                    </w:rPr>
                    <w:t>40.5</w:t>
                  </w:r>
                </w:p>
              </w:tc>
              <w:tc>
                <w:tcPr>
                  <w:tcW w:w="924" w:type="pct"/>
                  <w:tcBorders>
                    <w:tl2br w:val="nil"/>
                    <w:tr2bl w:val="nil"/>
                  </w:tcBorders>
                  <w:noWrap w:val="0"/>
                  <w:vAlign w:val="center"/>
                </w:tcPr>
                <w:p w14:paraId="4B11340F">
                  <w:pPr>
                    <w:keepNext w:val="0"/>
                    <w:keepLines w:val="0"/>
                    <w:pageBreakBefore w:val="0"/>
                    <w:widowControl/>
                    <w:kinsoku w:val="0"/>
                    <w:wordWrap/>
                    <w:overflowPunct/>
                    <w:topLinePunct w:val="0"/>
                    <w:autoSpaceDE w:val="0"/>
                    <w:autoSpaceDN w:val="0"/>
                    <w:bidi w:val="0"/>
                    <w:adjustRightInd/>
                    <w:snapToGrid/>
                    <w:ind w:left="0" w:leftChars="0" w:right="0" w:rightChars="0"/>
                    <w:jc w:val="center"/>
                    <w:textAlignment w:val="baseline"/>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0.031</w:t>
                  </w:r>
                </w:p>
              </w:tc>
            </w:tr>
            <w:tr w14:paraId="51DEE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584" w:type="pct"/>
                  <w:vMerge w:val="continue"/>
                  <w:tcBorders>
                    <w:tl2br w:val="nil"/>
                    <w:tr2bl w:val="nil"/>
                  </w:tcBorders>
                  <w:noWrap w:val="0"/>
                  <w:vAlign w:val="center"/>
                </w:tcPr>
                <w:p w14:paraId="3E5D3EEA">
                  <w:pPr>
                    <w:keepNext w:val="0"/>
                    <w:keepLines w:val="0"/>
                    <w:pageBreakBefore w:val="0"/>
                    <w:widowControl/>
                    <w:kinsoku w:val="0"/>
                    <w:wordWrap/>
                    <w:overflowPunct/>
                    <w:topLinePunct w:val="0"/>
                    <w:autoSpaceDE w:val="0"/>
                    <w:autoSpaceDN w:val="0"/>
                    <w:bidi w:val="0"/>
                    <w:adjustRightInd/>
                    <w:snapToGrid/>
                    <w:ind w:left="0" w:leftChars="0" w:right="0" w:rightChars="0"/>
                    <w:jc w:val="center"/>
                    <w:textAlignment w:val="baseline"/>
                    <w:rPr>
                      <w:rFonts w:hint="default" w:ascii="Times New Roman" w:hAnsi="Times New Roman" w:eastAsia="宋体" w:cs="Times New Roman"/>
                      <w:szCs w:val="21"/>
                      <w:lang w:val="en-US" w:eastAsia="zh-CN"/>
                    </w:rPr>
                  </w:pPr>
                </w:p>
              </w:tc>
              <w:tc>
                <w:tcPr>
                  <w:tcW w:w="585" w:type="pct"/>
                  <w:tcBorders>
                    <w:tl2br w:val="nil"/>
                    <w:tr2bl w:val="nil"/>
                  </w:tcBorders>
                  <w:noWrap w:val="0"/>
                  <w:vAlign w:val="center"/>
                </w:tcPr>
                <w:p w14:paraId="20828C99">
                  <w:pPr>
                    <w:keepNext w:val="0"/>
                    <w:keepLines w:val="0"/>
                    <w:pageBreakBefore w:val="0"/>
                    <w:widowControl/>
                    <w:kinsoku w:val="0"/>
                    <w:wordWrap/>
                    <w:overflowPunct/>
                    <w:topLinePunct w:val="0"/>
                    <w:autoSpaceDE w:val="0"/>
                    <w:autoSpaceDN w:val="0"/>
                    <w:bidi w:val="0"/>
                    <w:adjustRightInd/>
                    <w:snapToGrid/>
                    <w:ind w:left="0" w:leftChars="0" w:right="0" w:rightChars="0"/>
                    <w:jc w:val="center"/>
                    <w:textAlignment w:val="baseline"/>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3</w:t>
                  </w:r>
                </w:p>
              </w:tc>
              <w:tc>
                <w:tcPr>
                  <w:tcW w:w="2039" w:type="pct"/>
                  <w:tcBorders>
                    <w:tl2br w:val="nil"/>
                    <w:tr2bl w:val="nil"/>
                  </w:tcBorders>
                  <w:noWrap w:val="0"/>
                  <w:vAlign w:val="center"/>
                </w:tcPr>
                <w:p w14:paraId="0E3738C5">
                  <w:pPr>
                    <w:keepNext w:val="0"/>
                    <w:keepLines w:val="0"/>
                    <w:pageBreakBefore w:val="0"/>
                    <w:widowControl/>
                    <w:kinsoku w:val="0"/>
                    <w:wordWrap/>
                    <w:overflowPunct/>
                    <w:topLinePunct w:val="0"/>
                    <w:autoSpaceDE w:val="0"/>
                    <w:autoSpaceDN w:val="0"/>
                    <w:bidi w:val="0"/>
                    <w:adjustRightInd/>
                    <w:snapToGrid/>
                    <w:ind w:left="0" w:leftChars="0" w:right="0" w:rightChars="0"/>
                    <w:jc w:val="center"/>
                    <w:textAlignment w:val="baseline"/>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color w:val="auto"/>
                      <w:sz w:val="21"/>
                      <w:szCs w:val="21"/>
                      <w:lang w:val="en-US" w:eastAsia="zh-CN"/>
                    </w:rPr>
                    <w:t>颍上绿动风电场南侧围墙外5m处</w:t>
                  </w:r>
                </w:p>
              </w:tc>
              <w:tc>
                <w:tcPr>
                  <w:tcW w:w="866" w:type="pct"/>
                  <w:tcBorders>
                    <w:tl2br w:val="nil"/>
                    <w:tr2bl w:val="nil"/>
                  </w:tcBorders>
                  <w:noWrap w:val="0"/>
                  <w:vAlign w:val="center"/>
                </w:tcPr>
                <w:p w14:paraId="57FD8C2A">
                  <w:pPr>
                    <w:keepNext w:val="0"/>
                    <w:keepLines w:val="0"/>
                    <w:pageBreakBefore w:val="0"/>
                    <w:widowControl/>
                    <w:kinsoku w:val="0"/>
                    <w:wordWrap/>
                    <w:overflowPunct/>
                    <w:topLinePunct w:val="0"/>
                    <w:autoSpaceDE w:val="0"/>
                    <w:autoSpaceDN w:val="0"/>
                    <w:bidi w:val="0"/>
                    <w:adjustRightInd/>
                    <w:snapToGrid/>
                    <w:ind w:left="0" w:leftChars="0" w:right="0" w:rightChars="0"/>
                    <w:jc w:val="center"/>
                    <w:textAlignment w:val="baseline"/>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12.7</w:t>
                  </w:r>
                </w:p>
              </w:tc>
              <w:tc>
                <w:tcPr>
                  <w:tcW w:w="924" w:type="pct"/>
                  <w:tcBorders>
                    <w:tl2br w:val="nil"/>
                    <w:tr2bl w:val="nil"/>
                  </w:tcBorders>
                  <w:noWrap w:val="0"/>
                  <w:vAlign w:val="center"/>
                </w:tcPr>
                <w:p w14:paraId="08B18D6F">
                  <w:pPr>
                    <w:keepNext w:val="0"/>
                    <w:keepLines w:val="0"/>
                    <w:pageBreakBefore w:val="0"/>
                    <w:widowControl/>
                    <w:kinsoku w:val="0"/>
                    <w:wordWrap/>
                    <w:overflowPunct/>
                    <w:topLinePunct w:val="0"/>
                    <w:autoSpaceDE w:val="0"/>
                    <w:autoSpaceDN w:val="0"/>
                    <w:bidi w:val="0"/>
                    <w:adjustRightInd/>
                    <w:snapToGrid/>
                    <w:ind w:left="0" w:leftChars="0" w:right="0" w:rightChars="0"/>
                    <w:jc w:val="center"/>
                    <w:textAlignment w:val="baseline"/>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0.031</w:t>
                  </w:r>
                </w:p>
              </w:tc>
            </w:tr>
            <w:tr w14:paraId="71A25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584" w:type="pct"/>
                  <w:vMerge w:val="continue"/>
                  <w:tcBorders>
                    <w:tl2br w:val="nil"/>
                    <w:tr2bl w:val="nil"/>
                  </w:tcBorders>
                  <w:noWrap w:val="0"/>
                  <w:vAlign w:val="center"/>
                </w:tcPr>
                <w:p w14:paraId="4EC20440">
                  <w:pPr>
                    <w:keepNext w:val="0"/>
                    <w:keepLines w:val="0"/>
                    <w:pageBreakBefore w:val="0"/>
                    <w:widowControl/>
                    <w:kinsoku w:val="0"/>
                    <w:wordWrap/>
                    <w:overflowPunct/>
                    <w:topLinePunct w:val="0"/>
                    <w:autoSpaceDE w:val="0"/>
                    <w:autoSpaceDN w:val="0"/>
                    <w:bidi w:val="0"/>
                    <w:adjustRightInd/>
                    <w:snapToGrid/>
                    <w:ind w:left="0" w:leftChars="0" w:right="0" w:rightChars="0"/>
                    <w:jc w:val="center"/>
                    <w:textAlignment w:val="baseline"/>
                    <w:rPr>
                      <w:rFonts w:hint="default" w:ascii="Times New Roman" w:hAnsi="Times New Roman" w:eastAsia="宋体" w:cs="Times New Roman"/>
                      <w:szCs w:val="21"/>
                      <w:lang w:val="en-US" w:eastAsia="zh-CN"/>
                    </w:rPr>
                  </w:pPr>
                </w:p>
              </w:tc>
              <w:tc>
                <w:tcPr>
                  <w:tcW w:w="585" w:type="pct"/>
                  <w:tcBorders>
                    <w:tl2br w:val="nil"/>
                    <w:tr2bl w:val="nil"/>
                  </w:tcBorders>
                  <w:noWrap w:val="0"/>
                  <w:vAlign w:val="center"/>
                </w:tcPr>
                <w:p w14:paraId="2D3CD8EF">
                  <w:pPr>
                    <w:keepNext w:val="0"/>
                    <w:keepLines w:val="0"/>
                    <w:pageBreakBefore w:val="0"/>
                    <w:widowControl/>
                    <w:kinsoku w:val="0"/>
                    <w:wordWrap/>
                    <w:overflowPunct/>
                    <w:topLinePunct w:val="0"/>
                    <w:autoSpaceDE w:val="0"/>
                    <w:autoSpaceDN w:val="0"/>
                    <w:bidi w:val="0"/>
                    <w:adjustRightInd/>
                    <w:snapToGrid/>
                    <w:ind w:left="0" w:leftChars="0" w:right="0" w:rightChars="0"/>
                    <w:jc w:val="center"/>
                    <w:textAlignment w:val="baseline"/>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4</w:t>
                  </w:r>
                </w:p>
              </w:tc>
              <w:tc>
                <w:tcPr>
                  <w:tcW w:w="2039" w:type="pct"/>
                  <w:tcBorders>
                    <w:tl2br w:val="nil"/>
                    <w:tr2bl w:val="nil"/>
                  </w:tcBorders>
                  <w:noWrap w:val="0"/>
                  <w:vAlign w:val="center"/>
                </w:tcPr>
                <w:p w14:paraId="56A024DF">
                  <w:pPr>
                    <w:keepNext w:val="0"/>
                    <w:keepLines w:val="0"/>
                    <w:pageBreakBefore w:val="0"/>
                    <w:widowControl/>
                    <w:kinsoku w:val="0"/>
                    <w:wordWrap/>
                    <w:overflowPunct/>
                    <w:topLinePunct w:val="0"/>
                    <w:autoSpaceDE w:val="0"/>
                    <w:autoSpaceDN w:val="0"/>
                    <w:bidi w:val="0"/>
                    <w:adjustRightInd/>
                    <w:snapToGrid/>
                    <w:ind w:left="0" w:leftChars="0" w:right="0" w:rightChars="0"/>
                    <w:jc w:val="center"/>
                    <w:textAlignment w:val="baseline"/>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color w:val="auto"/>
                      <w:sz w:val="21"/>
                      <w:szCs w:val="21"/>
                      <w:lang w:val="en-US" w:eastAsia="zh-CN"/>
                    </w:rPr>
                    <w:t>颍上绿动风电场西侧围墙外5m处</w:t>
                  </w:r>
                </w:p>
              </w:tc>
              <w:tc>
                <w:tcPr>
                  <w:tcW w:w="866" w:type="pct"/>
                  <w:tcBorders>
                    <w:tl2br w:val="nil"/>
                    <w:tr2bl w:val="nil"/>
                  </w:tcBorders>
                  <w:noWrap w:val="0"/>
                  <w:vAlign w:val="center"/>
                </w:tcPr>
                <w:p w14:paraId="6007C6A9">
                  <w:pPr>
                    <w:keepNext w:val="0"/>
                    <w:keepLines w:val="0"/>
                    <w:pageBreakBefore w:val="0"/>
                    <w:widowControl/>
                    <w:kinsoku w:val="0"/>
                    <w:wordWrap/>
                    <w:overflowPunct/>
                    <w:topLinePunct w:val="0"/>
                    <w:autoSpaceDE w:val="0"/>
                    <w:autoSpaceDN w:val="0"/>
                    <w:bidi w:val="0"/>
                    <w:adjustRightInd/>
                    <w:snapToGrid/>
                    <w:ind w:left="0" w:leftChars="0" w:right="0" w:rightChars="0"/>
                    <w:jc w:val="center"/>
                    <w:textAlignment w:val="baseline"/>
                    <w:rPr>
                      <w:rFonts w:hint="default" w:ascii="Times New Roman" w:hAnsi="Times New Roman" w:eastAsia="宋体" w:cs="Times New Roman"/>
                      <w:color w:val="000000"/>
                      <w:szCs w:val="21"/>
                      <w:lang w:val="en-US" w:eastAsia="zh-CN"/>
                    </w:rPr>
                  </w:pPr>
                  <w:r>
                    <w:rPr>
                      <w:rFonts w:hint="default" w:ascii="Times New Roman" w:hAnsi="Times New Roman" w:eastAsia="宋体" w:cs="Times New Roman"/>
                      <w:color w:val="000000"/>
                      <w:szCs w:val="21"/>
                      <w:lang w:val="en-US" w:eastAsia="zh-CN"/>
                    </w:rPr>
                    <w:t>2.6</w:t>
                  </w:r>
                </w:p>
              </w:tc>
              <w:tc>
                <w:tcPr>
                  <w:tcW w:w="924" w:type="pct"/>
                  <w:tcBorders>
                    <w:tl2br w:val="nil"/>
                    <w:tr2bl w:val="nil"/>
                  </w:tcBorders>
                  <w:noWrap w:val="0"/>
                  <w:vAlign w:val="center"/>
                </w:tcPr>
                <w:p w14:paraId="74C7FC00">
                  <w:pPr>
                    <w:keepNext w:val="0"/>
                    <w:keepLines w:val="0"/>
                    <w:pageBreakBefore w:val="0"/>
                    <w:widowControl/>
                    <w:kinsoku w:val="0"/>
                    <w:wordWrap/>
                    <w:overflowPunct/>
                    <w:topLinePunct w:val="0"/>
                    <w:autoSpaceDE w:val="0"/>
                    <w:autoSpaceDN w:val="0"/>
                    <w:bidi w:val="0"/>
                    <w:adjustRightInd/>
                    <w:snapToGrid/>
                    <w:ind w:left="0" w:leftChars="0" w:right="0" w:rightChars="0"/>
                    <w:jc w:val="center"/>
                    <w:textAlignment w:val="baseline"/>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0.016</w:t>
                  </w:r>
                </w:p>
              </w:tc>
            </w:tr>
          </w:tbl>
          <w:p w14:paraId="3B11D235">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eastAsia="宋体" w:cs="Times New Roman"/>
                <w:snapToGrid/>
                <w:color w:val="FF0000"/>
                <w:kern w:val="0"/>
                <w:sz w:val="24"/>
                <w:szCs w:val="24"/>
                <w:lang w:val="en-US" w:eastAsia="zh-CN" w:bidi="ar-SA"/>
              </w:rPr>
            </w:pPr>
            <w:r>
              <w:rPr>
                <w:rFonts w:hint="default" w:ascii="Times New Roman" w:hAnsi="Times New Roman" w:eastAsia="宋体" w:cs="Times New Roman"/>
                <w:b/>
                <w:bCs/>
                <w:snapToGrid/>
                <w:color w:val="auto"/>
                <w:kern w:val="0"/>
                <w:sz w:val="24"/>
                <w:szCs w:val="24"/>
                <w:lang w:val="en-US" w:eastAsia="zh-CN" w:bidi="ar-SA"/>
              </w:rPr>
              <w:t>根据监测结果可知：</w:t>
            </w:r>
            <w:r>
              <w:rPr>
                <w:rFonts w:hint="default" w:ascii="Times New Roman" w:hAnsi="Times New Roman" w:eastAsia="宋体" w:cs="Times New Roman"/>
                <w:snapToGrid/>
                <w:color w:val="auto"/>
                <w:kern w:val="0"/>
                <w:sz w:val="24"/>
                <w:szCs w:val="24"/>
                <w:lang w:val="en-US" w:eastAsia="zh-CN" w:bidi="ar-SA"/>
              </w:rPr>
              <w:t>本工程在正常运行工况下，</w:t>
            </w:r>
            <w:r>
              <w:rPr>
                <w:rFonts w:hint="eastAsia" w:ascii="Times New Roman" w:hAnsi="Times New Roman" w:eastAsia="宋体" w:cs="Times New Roman"/>
                <w:snapToGrid/>
                <w:color w:val="auto"/>
                <w:kern w:val="0"/>
                <w:sz w:val="24"/>
                <w:szCs w:val="24"/>
                <w:lang w:val="en-US" w:eastAsia="zh-CN" w:bidi="ar-SA"/>
              </w:rPr>
              <w:t>升压</w:t>
            </w:r>
            <w:r>
              <w:rPr>
                <w:rFonts w:hint="default" w:ascii="Times New Roman" w:hAnsi="Times New Roman" w:eastAsia="宋体" w:cs="Times New Roman"/>
                <w:snapToGrid/>
                <w:color w:val="auto"/>
                <w:kern w:val="0"/>
                <w:sz w:val="24"/>
                <w:szCs w:val="24"/>
                <w:lang w:val="en-US" w:eastAsia="zh-CN" w:bidi="ar-SA"/>
              </w:rPr>
              <w:t>站边界监测点工频电场强度为2.6~40.5V/m，磁感应强度为0.016~0.031μT，满足《电磁环境控制限值》（GB8702-2014）表1中公众暴露限值，即频率50Hz对应的工频电场强度限值：4000V/m；工频磁感应强度限值：100μT</w:t>
            </w:r>
          </w:p>
        </w:tc>
      </w:tr>
      <w:tr w14:paraId="57B70A8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293" w:hRule="atLeast"/>
          <w:jc w:val="center"/>
        </w:trPr>
        <w:tc>
          <w:tcPr>
            <w:tcW w:w="5000" w:type="pct"/>
            <w:tcBorders>
              <w:tl2br w:val="nil"/>
              <w:tr2bl w:val="nil"/>
            </w:tcBorders>
            <w:vAlign w:val="top"/>
          </w:tcPr>
          <w:p w14:paraId="77C58C6F">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bCs/>
                <w:snapToGrid/>
                <w:color w:val="auto"/>
                <w:kern w:val="0"/>
                <w:sz w:val="24"/>
                <w:szCs w:val="24"/>
                <w:lang w:val="en-US" w:eastAsia="zh-CN" w:bidi="ar-SA"/>
              </w:rPr>
            </w:pPr>
            <w:r>
              <w:rPr>
                <w:rFonts w:hint="default" w:ascii="Times New Roman" w:hAnsi="Times New Roman" w:eastAsia="宋体" w:cs="Times New Roman"/>
                <w:b/>
                <w:bCs/>
                <w:snapToGrid/>
                <w:color w:val="auto"/>
                <w:kern w:val="0"/>
                <w:sz w:val="24"/>
                <w:szCs w:val="24"/>
                <w:lang w:val="en-US" w:eastAsia="zh-CN" w:bidi="ar-SA"/>
              </w:rPr>
              <w:t>监测因子及监测频次</w:t>
            </w:r>
          </w:p>
          <w:p w14:paraId="0F65CC65">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auto"/>
                <w:kern w:val="0"/>
                <w:sz w:val="24"/>
                <w:szCs w:val="24"/>
                <w:lang w:val="en-US" w:eastAsia="zh-CN" w:bidi="ar-SA"/>
              </w:rPr>
            </w:pPr>
            <w:r>
              <w:rPr>
                <w:rFonts w:hint="default" w:ascii="Times New Roman" w:hAnsi="Times New Roman" w:eastAsia="宋体" w:cs="Times New Roman"/>
                <w:snapToGrid/>
                <w:color w:val="auto"/>
                <w:kern w:val="0"/>
                <w:sz w:val="24"/>
                <w:szCs w:val="24"/>
                <w:lang w:val="en-US" w:eastAsia="zh-CN" w:bidi="ar-SA"/>
              </w:rPr>
              <w:t>监测因子：场界噪声及声环境；</w:t>
            </w:r>
          </w:p>
          <w:p w14:paraId="0E508BA6">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auto"/>
                <w:kern w:val="0"/>
                <w:sz w:val="24"/>
                <w:szCs w:val="24"/>
                <w:lang w:val="en-US" w:eastAsia="zh-CN" w:bidi="ar-SA"/>
              </w:rPr>
            </w:pPr>
            <w:r>
              <w:rPr>
                <w:rFonts w:hint="default" w:ascii="Times New Roman" w:hAnsi="Times New Roman" w:eastAsia="宋体" w:cs="Times New Roman"/>
                <w:snapToGrid/>
                <w:color w:val="auto"/>
                <w:kern w:val="0"/>
                <w:sz w:val="24"/>
                <w:szCs w:val="24"/>
                <w:lang w:val="en-US" w:eastAsia="zh-CN" w:bidi="ar-SA"/>
              </w:rPr>
              <w:t>监测频次：连续2天，每天昼间、夜间监测1次，共2次</w:t>
            </w:r>
          </w:p>
          <w:p w14:paraId="30D02C94">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auto"/>
                <w:kern w:val="0"/>
                <w:sz w:val="24"/>
                <w:szCs w:val="24"/>
                <w:lang w:val="en-US" w:eastAsia="zh-CN" w:bidi="ar-SA"/>
              </w:rPr>
            </w:pPr>
            <w:r>
              <w:rPr>
                <w:rFonts w:hint="default" w:ascii="Times New Roman" w:hAnsi="Times New Roman" w:eastAsia="宋体" w:cs="Times New Roman"/>
                <w:snapToGrid/>
                <w:color w:val="auto"/>
                <w:kern w:val="0"/>
                <w:sz w:val="24"/>
                <w:szCs w:val="24"/>
                <w:lang w:val="en-US" w:eastAsia="zh-CN" w:bidi="ar-SA"/>
              </w:rPr>
              <w:t>升压站：四周各监测1次</w:t>
            </w:r>
          </w:p>
        </w:tc>
      </w:tr>
      <w:tr w14:paraId="62E726E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5" w:hRule="atLeast"/>
          <w:jc w:val="center"/>
        </w:trPr>
        <w:tc>
          <w:tcPr>
            <w:tcW w:w="5000" w:type="pct"/>
            <w:tcBorders>
              <w:tl2br w:val="nil"/>
              <w:tr2bl w:val="nil"/>
            </w:tcBorders>
            <w:vAlign w:val="top"/>
          </w:tcPr>
          <w:p w14:paraId="619C1798">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bCs/>
                <w:snapToGrid/>
                <w:color w:val="auto"/>
                <w:kern w:val="0"/>
                <w:sz w:val="24"/>
                <w:szCs w:val="24"/>
                <w:lang w:val="en-US" w:eastAsia="zh-CN" w:bidi="ar-SA"/>
              </w:rPr>
            </w:pPr>
            <w:r>
              <w:rPr>
                <w:rFonts w:hint="default" w:ascii="Times New Roman" w:hAnsi="Times New Roman" w:eastAsia="宋体" w:cs="Times New Roman"/>
                <w:b/>
                <w:bCs/>
                <w:snapToGrid/>
                <w:color w:val="auto"/>
                <w:kern w:val="0"/>
                <w:sz w:val="24"/>
                <w:szCs w:val="24"/>
                <w:lang w:val="en-US" w:eastAsia="zh-CN" w:bidi="ar-SA"/>
              </w:rPr>
              <w:t>监测方法及监测布点</w:t>
            </w:r>
          </w:p>
          <w:p w14:paraId="57A8ED81">
            <w:pPr>
              <w:pStyle w:val="5"/>
              <w:keepNext w:val="0"/>
              <w:keepLines w:val="0"/>
              <w:pageBreakBefore w:val="0"/>
              <w:widowControl/>
              <w:kinsoku w:val="0"/>
              <w:wordWrap/>
              <w:overflowPunct/>
              <w:topLinePunct w:val="0"/>
              <w:autoSpaceDE w:val="0"/>
              <w:autoSpaceDN w:val="0"/>
              <w:bidi w:val="0"/>
              <w:adjustRightInd/>
              <w:snapToGrid/>
              <w:spacing w:line="360" w:lineRule="auto"/>
              <w:ind w:left="0" w:leftChars="0" w:firstLine="482" w:firstLineChars="200"/>
              <w:textAlignment w:val="baseline"/>
              <w:rPr>
                <w:rFonts w:hint="default" w:ascii="Times New Roman" w:hAnsi="Times New Roman" w:eastAsia="宋体" w:cs="Times New Roman"/>
                <w:b/>
                <w:bCs/>
                <w:color w:val="auto"/>
                <w:sz w:val="24"/>
                <w:lang w:eastAsia="zh-CN"/>
              </w:rPr>
            </w:pPr>
            <w:r>
              <w:rPr>
                <w:rFonts w:hint="default" w:ascii="Times New Roman" w:hAnsi="Times New Roman" w:eastAsia="宋体" w:cs="Times New Roman"/>
                <w:b/>
                <w:bCs/>
                <w:color w:val="auto"/>
                <w:sz w:val="24"/>
                <w:lang w:eastAsia="zh-CN"/>
              </w:rPr>
              <w:t>监测方法：</w:t>
            </w:r>
          </w:p>
          <w:p w14:paraId="46A65AE7">
            <w:pPr>
              <w:pStyle w:val="5"/>
              <w:keepNext w:val="0"/>
              <w:keepLines w:val="0"/>
              <w:pageBreakBefore w:val="0"/>
              <w:widowControl/>
              <w:kinsoku w:val="0"/>
              <w:wordWrap/>
              <w:overflowPunct/>
              <w:topLinePunct w:val="0"/>
              <w:autoSpaceDE w:val="0"/>
              <w:autoSpaceDN w:val="0"/>
              <w:bidi w:val="0"/>
              <w:adjustRightInd/>
              <w:snapToGrid/>
              <w:spacing w:line="360" w:lineRule="auto"/>
              <w:ind w:left="0" w:leftChars="0" w:firstLine="480" w:firstLineChars="200"/>
              <w:textAlignment w:val="baseline"/>
              <w:rPr>
                <w:rFonts w:hint="default" w:ascii="Times New Roman" w:hAnsi="Times New Roman" w:eastAsia="宋体" w:cs="Times New Roman"/>
                <w:b w:val="0"/>
                <w:bCs w:val="0"/>
                <w:color w:val="auto"/>
                <w:sz w:val="24"/>
                <w:lang w:eastAsia="zh-CN"/>
              </w:rPr>
            </w:pPr>
            <w:r>
              <w:rPr>
                <w:rFonts w:hint="default" w:ascii="Times New Roman" w:hAnsi="Times New Roman" w:eastAsia="宋体" w:cs="Times New Roman"/>
                <w:b w:val="0"/>
                <w:bCs w:val="0"/>
                <w:color w:val="auto"/>
                <w:sz w:val="24"/>
                <w:lang w:eastAsia="zh-CN"/>
              </w:rPr>
              <w:t>《工业企业厂界环境噪声排放标准》</w:t>
            </w:r>
            <w:r>
              <w:rPr>
                <w:rFonts w:hint="eastAsia" w:ascii="Times New Roman" w:hAnsi="Times New Roman" w:eastAsia="宋体" w:cs="Times New Roman"/>
                <w:b w:val="0"/>
                <w:bCs w:val="0"/>
                <w:color w:val="auto"/>
                <w:sz w:val="24"/>
                <w:lang w:eastAsia="zh-CN"/>
              </w:rPr>
              <w:t>（</w:t>
            </w:r>
            <w:r>
              <w:rPr>
                <w:rFonts w:hint="default" w:ascii="Times New Roman" w:hAnsi="Times New Roman" w:eastAsia="宋体" w:cs="Times New Roman"/>
                <w:b w:val="0"/>
                <w:bCs w:val="0"/>
                <w:color w:val="auto"/>
                <w:sz w:val="24"/>
                <w:lang w:eastAsia="zh-CN"/>
              </w:rPr>
              <w:t>GB12348-2008</w:t>
            </w:r>
            <w:r>
              <w:rPr>
                <w:rFonts w:hint="eastAsia" w:ascii="Times New Roman" w:hAnsi="Times New Roman" w:eastAsia="宋体" w:cs="Times New Roman"/>
                <w:b w:val="0"/>
                <w:bCs w:val="0"/>
                <w:color w:val="auto"/>
                <w:sz w:val="24"/>
                <w:lang w:eastAsia="zh-CN"/>
              </w:rPr>
              <w:t>）</w:t>
            </w:r>
          </w:p>
          <w:p w14:paraId="1A52BECC">
            <w:pPr>
              <w:pStyle w:val="5"/>
              <w:keepNext w:val="0"/>
              <w:keepLines w:val="0"/>
              <w:pageBreakBefore w:val="0"/>
              <w:widowControl/>
              <w:kinsoku w:val="0"/>
              <w:wordWrap/>
              <w:overflowPunct/>
              <w:topLinePunct w:val="0"/>
              <w:autoSpaceDE w:val="0"/>
              <w:autoSpaceDN w:val="0"/>
              <w:bidi w:val="0"/>
              <w:adjustRightInd/>
              <w:snapToGrid/>
              <w:spacing w:line="360" w:lineRule="auto"/>
              <w:ind w:left="0" w:leftChars="0" w:firstLine="482" w:firstLineChars="200"/>
              <w:textAlignment w:val="baseline"/>
              <w:rPr>
                <w:rFonts w:hint="default" w:ascii="Times New Roman" w:hAnsi="Times New Roman" w:eastAsia="宋体" w:cs="Times New Roman"/>
                <w:b/>
                <w:bCs/>
                <w:snapToGrid/>
                <w:color w:val="auto"/>
                <w:kern w:val="0"/>
                <w:sz w:val="24"/>
                <w:szCs w:val="24"/>
                <w:lang w:val="en-US" w:eastAsia="zh-CN" w:bidi="ar-SA"/>
              </w:rPr>
            </w:pPr>
            <w:r>
              <w:rPr>
                <w:rFonts w:hint="default" w:ascii="Times New Roman" w:hAnsi="Times New Roman" w:eastAsia="宋体" w:cs="Times New Roman"/>
                <w:b/>
                <w:bCs/>
                <w:snapToGrid/>
                <w:color w:val="auto"/>
                <w:kern w:val="0"/>
                <w:sz w:val="24"/>
                <w:szCs w:val="24"/>
                <w:lang w:val="en-US" w:eastAsia="zh-CN" w:bidi="ar-SA"/>
              </w:rPr>
              <w:t>监测布点：</w:t>
            </w:r>
          </w:p>
          <w:p w14:paraId="3A29A8AC">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auto"/>
                <w:kern w:val="0"/>
                <w:sz w:val="24"/>
                <w:szCs w:val="24"/>
                <w:lang w:val="en-US" w:eastAsia="zh-CN" w:bidi="ar-SA"/>
              </w:rPr>
            </w:pPr>
            <w:r>
              <w:rPr>
                <w:rFonts w:hint="default" w:ascii="Times New Roman" w:hAnsi="Times New Roman" w:eastAsia="宋体" w:cs="Times New Roman"/>
                <w:color w:val="auto"/>
                <w:sz w:val="24"/>
                <w:lang w:val="en-US" w:eastAsia="zh-CN"/>
              </w:rPr>
              <w:t>升压站</w:t>
            </w:r>
            <w:r>
              <w:rPr>
                <w:rFonts w:hint="default" w:ascii="Times New Roman" w:hAnsi="Times New Roman" w:eastAsia="宋体" w:cs="Times New Roman"/>
                <w:color w:val="auto"/>
                <w:sz w:val="24"/>
                <w:lang w:eastAsia="zh-CN"/>
              </w:rPr>
              <w:t>场界四周</w:t>
            </w:r>
            <w:r>
              <w:rPr>
                <w:rFonts w:hint="eastAsia" w:ascii="Times New Roman" w:hAnsi="Times New Roman" w:eastAsia="宋体" w:cs="Times New Roman"/>
                <w:color w:val="auto"/>
                <w:sz w:val="24"/>
                <w:lang w:val="en-US" w:eastAsia="zh-CN"/>
              </w:rPr>
              <w:t>1m处</w:t>
            </w:r>
            <w:r>
              <w:rPr>
                <w:rFonts w:hint="default" w:ascii="Times New Roman" w:hAnsi="Times New Roman" w:eastAsia="宋体" w:cs="Times New Roman"/>
                <w:color w:val="auto"/>
                <w:sz w:val="24"/>
                <w:lang w:eastAsia="zh-CN"/>
              </w:rPr>
              <w:t>，共</w:t>
            </w:r>
            <w:r>
              <w:rPr>
                <w:rFonts w:hint="default" w:ascii="Times New Roman" w:hAnsi="Times New Roman" w:eastAsia="宋体" w:cs="Times New Roman"/>
                <w:color w:val="auto"/>
                <w:sz w:val="24"/>
                <w:lang w:val="en-US" w:eastAsia="zh-CN"/>
              </w:rPr>
              <w:t>4个点位</w:t>
            </w:r>
          </w:p>
        </w:tc>
      </w:tr>
      <w:tr w14:paraId="7D0CA20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295" w:hRule="atLeast"/>
          <w:jc w:val="center"/>
        </w:trPr>
        <w:tc>
          <w:tcPr>
            <w:tcW w:w="5000" w:type="pct"/>
            <w:tcBorders>
              <w:tl2br w:val="nil"/>
              <w:tr2bl w:val="nil"/>
            </w:tcBorders>
            <w:vAlign w:val="top"/>
          </w:tcPr>
          <w:p w14:paraId="3CEB4A63">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bCs/>
                <w:snapToGrid/>
                <w:color w:val="auto"/>
                <w:kern w:val="0"/>
                <w:sz w:val="24"/>
                <w:szCs w:val="24"/>
                <w:lang w:val="en-US" w:eastAsia="zh-CN" w:bidi="ar-SA"/>
              </w:rPr>
            </w:pPr>
            <w:r>
              <w:rPr>
                <w:rFonts w:hint="default" w:ascii="Times New Roman" w:hAnsi="Times New Roman" w:eastAsia="宋体" w:cs="Times New Roman"/>
                <w:b/>
                <w:bCs/>
                <w:snapToGrid/>
                <w:color w:val="auto"/>
                <w:kern w:val="0"/>
                <w:sz w:val="24"/>
                <w:szCs w:val="24"/>
                <w:lang w:val="en-US" w:eastAsia="zh-CN" w:bidi="ar-SA"/>
              </w:rPr>
              <w:t>监测单位、监测时间、监测环境条件</w:t>
            </w:r>
          </w:p>
          <w:p w14:paraId="3970EF99">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auto"/>
                <w:kern w:val="0"/>
                <w:sz w:val="24"/>
                <w:szCs w:val="24"/>
                <w:lang w:val="en-US" w:eastAsia="zh-CN" w:bidi="ar-SA"/>
              </w:rPr>
            </w:pPr>
            <w:r>
              <w:rPr>
                <w:rFonts w:hint="default" w:ascii="Times New Roman" w:hAnsi="Times New Roman" w:eastAsia="宋体" w:cs="Times New Roman"/>
                <w:snapToGrid/>
                <w:color w:val="auto"/>
                <w:kern w:val="0"/>
                <w:sz w:val="24"/>
                <w:szCs w:val="24"/>
                <w:lang w:val="en-US" w:eastAsia="zh-CN" w:bidi="ar-SA"/>
              </w:rPr>
              <w:t>监测单位：合肥鑫鼎环保科技有限责任公司</w:t>
            </w:r>
          </w:p>
          <w:p w14:paraId="1E2B2B69">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auto"/>
                <w:kern w:val="0"/>
                <w:sz w:val="24"/>
                <w:szCs w:val="24"/>
                <w:lang w:val="en-US" w:eastAsia="zh-CN" w:bidi="ar-SA"/>
              </w:rPr>
            </w:pPr>
            <w:r>
              <w:rPr>
                <w:rFonts w:hint="default" w:ascii="Times New Roman" w:hAnsi="Times New Roman" w:eastAsia="宋体" w:cs="Times New Roman"/>
                <w:snapToGrid/>
                <w:color w:val="auto"/>
                <w:kern w:val="0"/>
                <w:sz w:val="24"/>
                <w:szCs w:val="24"/>
                <w:lang w:val="en-US" w:eastAsia="zh-CN" w:bidi="ar-SA"/>
              </w:rPr>
              <w:t>监测时间：2024年11月5日~2024年11月6日</w:t>
            </w:r>
          </w:p>
          <w:p w14:paraId="5DD24578">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auto"/>
                <w:kern w:val="0"/>
                <w:sz w:val="24"/>
                <w:szCs w:val="24"/>
                <w:lang w:val="en-US" w:eastAsia="zh-CN" w:bidi="ar-SA"/>
              </w:rPr>
            </w:pPr>
            <w:r>
              <w:rPr>
                <w:rFonts w:hint="default" w:ascii="Times New Roman" w:hAnsi="Times New Roman" w:eastAsia="宋体" w:cs="Times New Roman"/>
                <w:snapToGrid/>
                <w:color w:val="auto"/>
                <w:kern w:val="0"/>
                <w:sz w:val="24"/>
                <w:szCs w:val="24"/>
                <w:lang w:val="en-US" w:eastAsia="zh-CN" w:bidi="ar-SA"/>
              </w:rPr>
              <w:t>监测环境条件：11月5日，天气-晴；温度10~16℃；相对湿度56~70%；风速0.5~1.5m/s；11月6日，天气-晴；温度9~14℃；相对湿度64~72%；风速0~1.0m/s</w:t>
            </w:r>
          </w:p>
        </w:tc>
      </w:tr>
      <w:tr w14:paraId="7399985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237" w:hRule="atLeast"/>
          <w:jc w:val="center"/>
        </w:trPr>
        <w:tc>
          <w:tcPr>
            <w:tcW w:w="5000" w:type="pct"/>
            <w:tcBorders>
              <w:tl2br w:val="nil"/>
              <w:tr2bl w:val="nil"/>
            </w:tcBorders>
            <w:vAlign w:val="top"/>
          </w:tcPr>
          <w:p w14:paraId="2C5D4D6C">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bCs/>
                <w:snapToGrid/>
                <w:color w:val="auto"/>
                <w:kern w:val="0"/>
                <w:sz w:val="24"/>
                <w:szCs w:val="24"/>
                <w:lang w:val="en-US" w:eastAsia="zh-CN" w:bidi="ar-SA"/>
              </w:rPr>
            </w:pPr>
            <w:r>
              <w:rPr>
                <w:rFonts w:hint="default" w:ascii="Times New Roman" w:hAnsi="Times New Roman" w:eastAsia="宋体" w:cs="Times New Roman"/>
                <w:b/>
                <w:bCs/>
                <w:snapToGrid/>
                <w:color w:val="auto"/>
                <w:kern w:val="0"/>
                <w:sz w:val="24"/>
                <w:szCs w:val="24"/>
                <w:lang w:val="en-US" w:eastAsia="zh-CN" w:bidi="ar-SA"/>
              </w:rPr>
              <w:t>监测仪器及工况</w:t>
            </w:r>
          </w:p>
          <w:p w14:paraId="44EDC0E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napToGrid/>
                <w:color w:val="auto"/>
                <w:kern w:val="0"/>
                <w:sz w:val="24"/>
                <w:szCs w:val="24"/>
                <w:vertAlign w:val="baseline"/>
                <w:lang w:val="en-US" w:eastAsia="zh-CN" w:bidi="ar-SA"/>
              </w:rPr>
            </w:pPr>
            <w:r>
              <w:rPr>
                <w:rFonts w:hint="default" w:ascii="Times New Roman" w:hAnsi="Times New Roman" w:eastAsia="宋体" w:cs="Times New Roman"/>
                <w:b/>
                <w:bCs/>
                <w:snapToGrid/>
                <w:color w:val="auto"/>
                <w:kern w:val="0"/>
                <w:sz w:val="24"/>
                <w:szCs w:val="24"/>
                <w:lang w:val="en-US" w:eastAsia="zh-CN" w:bidi="ar-SA"/>
              </w:rPr>
              <w:t>表7.4监测仪器及工况表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9"/>
              <w:gridCol w:w="1614"/>
              <w:gridCol w:w="1630"/>
              <w:gridCol w:w="1760"/>
              <w:gridCol w:w="1756"/>
            </w:tblGrid>
            <w:tr w14:paraId="5A032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2" w:type="pct"/>
                  <w:tcBorders>
                    <w:tl2br w:val="nil"/>
                    <w:tr2bl w:val="nil"/>
                  </w:tcBorders>
                  <w:vAlign w:val="center"/>
                </w:tcPr>
                <w:p w14:paraId="160100F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snapToGrid/>
                      <w:color w:val="FF0000"/>
                      <w:kern w:val="0"/>
                      <w:sz w:val="21"/>
                      <w:szCs w:val="21"/>
                      <w:vertAlign w:val="baseline"/>
                      <w:lang w:val="en-US" w:eastAsia="zh-CN" w:bidi="ar-SA"/>
                    </w:rPr>
                  </w:pPr>
                  <w:r>
                    <w:rPr>
                      <w:rFonts w:hint="default" w:ascii="Times New Roman" w:hAnsi="Times New Roman" w:eastAsia="宋体" w:cs="Times New Roman"/>
                      <w:b/>
                      <w:bCs/>
                      <w:sz w:val="21"/>
                      <w:szCs w:val="21"/>
                    </w:rPr>
                    <w:t>仪器名称</w:t>
                  </w:r>
                </w:p>
              </w:tc>
              <w:tc>
                <w:tcPr>
                  <w:tcW w:w="973" w:type="pct"/>
                  <w:tcBorders>
                    <w:tl2br w:val="nil"/>
                    <w:tr2bl w:val="nil"/>
                  </w:tcBorders>
                  <w:vAlign w:val="center"/>
                </w:tcPr>
                <w:p w14:paraId="2505A7D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snapToGrid/>
                      <w:color w:val="FF0000"/>
                      <w:kern w:val="0"/>
                      <w:sz w:val="21"/>
                      <w:szCs w:val="21"/>
                      <w:vertAlign w:val="baseline"/>
                      <w:lang w:val="en-US" w:eastAsia="zh-CN" w:bidi="ar-SA"/>
                    </w:rPr>
                  </w:pPr>
                  <w:r>
                    <w:rPr>
                      <w:rFonts w:hint="default" w:ascii="Times New Roman" w:hAnsi="Times New Roman" w:eastAsia="宋体" w:cs="Times New Roman"/>
                      <w:b/>
                      <w:bCs/>
                      <w:sz w:val="21"/>
                      <w:szCs w:val="21"/>
                    </w:rPr>
                    <w:t>型号</w:t>
                  </w:r>
                </w:p>
              </w:tc>
              <w:tc>
                <w:tcPr>
                  <w:tcW w:w="983" w:type="pct"/>
                  <w:tcBorders>
                    <w:tl2br w:val="nil"/>
                    <w:tr2bl w:val="nil"/>
                  </w:tcBorders>
                  <w:vAlign w:val="center"/>
                </w:tcPr>
                <w:p w14:paraId="51D1F88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snapToGrid/>
                      <w:color w:val="FF0000"/>
                      <w:kern w:val="0"/>
                      <w:sz w:val="21"/>
                      <w:szCs w:val="21"/>
                      <w:vertAlign w:val="baseline"/>
                      <w:lang w:val="en-US" w:eastAsia="zh-CN" w:bidi="ar-SA"/>
                    </w:rPr>
                  </w:pPr>
                  <w:r>
                    <w:rPr>
                      <w:rFonts w:hint="default" w:ascii="Times New Roman" w:hAnsi="Times New Roman" w:eastAsia="宋体" w:cs="Times New Roman"/>
                      <w:b/>
                      <w:bCs/>
                      <w:sz w:val="21"/>
                      <w:szCs w:val="21"/>
                    </w:rPr>
                    <w:t>出厂编号</w:t>
                  </w:r>
                </w:p>
              </w:tc>
              <w:tc>
                <w:tcPr>
                  <w:tcW w:w="1061" w:type="pct"/>
                  <w:tcBorders>
                    <w:tl2br w:val="nil"/>
                    <w:tr2bl w:val="nil"/>
                  </w:tcBorders>
                  <w:vAlign w:val="center"/>
                </w:tcPr>
                <w:p w14:paraId="65EA1D7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snapToGrid/>
                      <w:color w:val="FF0000"/>
                      <w:kern w:val="0"/>
                      <w:sz w:val="21"/>
                      <w:szCs w:val="21"/>
                      <w:vertAlign w:val="baseline"/>
                      <w:lang w:val="en-US" w:eastAsia="zh-CN" w:bidi="ar-SA"/>
                    </w:rPr>
                  </w:pPr>
                  <w:r>
                    <w:rPr>
                      <w:rFonts w:hint="default" w:ascii="Times New Roman" w:hAnsi="Times New Roman" w:eastAsia="宋体" w:cs="Times New Roman"/>
                      <w:b/>
                      <w:bCs/>
                      <w:sz w:val="21"/>
                      <w:szCs w:val="21"/>
                    </w:rPr>
                    <w:t>技术指标</w:t>
                  </w:r>
                </w:p>
              </w:tc>
              <w:tc>
                <w:tcPr>
                  <w:tcW w:w="1059" w:type="pct"/>
                  <w:tcBorders>
                    <w:tl2br w:val="nil"/>
                    <w:tr2bl w:val="nil"/>
                  </w:tcBorders>
                  <w:vAlign w:val="center"/>
                </w:tcPr>
                <w:p w14:paraId="1C99B87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校准/检定</w:t>
                  </w:r>
                </w:p>
                <w:p w14:paraId="53F2479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snapToGrid/>
                      <w:color w:val="FF0000"/>
                      <w:kern w:val="0"/>
                      <w:sz w:val="21"/>
                      <w:szCs w:val="21"/>
                      <w:vertAlign w:val="baseline"/>
                      <w:lang w:val="en-US" w:eastAsia="zh-CN" w:bidi="ar-SA"/>
                    </w:rPr>
                  </w:pPr>
                  <w:r>
                    <w:rPr>
                      <w:rFonts w:hint="default" w:ascii="Times New Roman" w:hAnsi="Times New Roman" w:eastAsia="宋体" w:cs="Times New Roman"/>
                      <w:b/>
                      <w:bCs/>
                      <w:sz w:val="21"/>
                      <w:szCs w:val="21"/>
                    </w:rPr>
                    <w:t>证书号及有效期</w:t>
                  </w:r>
                </w:p>
              </w:tc>
            </w:tr>
            <w:tr w14:paraId="317A6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2" w:type="pct"/>
                  <w:tcBorders>
                    <w:tl2br w:val="nil"/>
                    <w:tr2bl w:val="nil"/>
                  </w:tcBorders>
                  <w:vAlign w:val="center"/>
                </w:tcPr>
                <w:p w14:paraId="5EE2F6B2">
                  <w:pPr>
                    <w:keepNext w:val="0"/>
                    <w:keepLines w:val="0"/>
                    <w:pageBreakBefore w:val="0"/>
                    <w:widowControl w:val="0"/>
                    <w:wordWrap/>
                    <w:overflowPunct/>
                    <w:topLinePunct w:val="0"/>
                    <w:bidi w:val="0"/>
                    <w:adjustRightInd w:val="0"/>
                    <w:snapToGrid w:val="0"/>
                    <w:ind w:left="0" w:leftChars="0" w:right="0" w:rightChars="0"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多功能声级计/</w:t>
                  </w:r>
                </w:p>
                <w:p w14:paraId="06571AF0">
                  <w:pPr>
                    <w:keepNext w:val="0"/>
                    <w:keepLines w:val="0"/>
                    <w:pageBreakBefore w:val="0"/>
                    <w:widowControl w:val="0"/>
                    <w:wordWrap/>
                    <w:overflowPunct/>
                    <w:topLinePunct w:val="0"/>
                    <w:bidi w:val="0"/>
                    <w:adjustRightInd w:val="0"/>
                    <w:snapToGrid w:val="0"/>
                    <w:ind w:left="0" w:leftChars="0" w:right="0" w:rightChars="0" w:firstLine="0" w:firstLineChars="0"/>
                    <w:jc w:val="center"/>
                    <w:rPr>
                      <w:rFonts w:hint="default" w:ascii="Times New Roman" w:hAnsi="Times New Roman" w:eastAsia="宋体" w:cs="Times New Roman"/>
                      <w:snapToGrid/>
                      <w:color w:val="FF0000"/>
                      <w:kern w:val="0"/>
                      <w:sz w:val="21"/>
                      <w:szCs w:val="21"/>
                      <w:highlight w:val="none"/>
                      <w:vertAlign w:val="baseline"/>
                      <w:lang w:val="en-US" w:eastAsia="zh-CN" w:bidi="ar-SA"/>
                    </w:rPr>
                  </w:pPr>
                  <w:r>
                    <w:rPr>
                      <w:rFonts w:hint="default" w:ascii="Times New Roman" w:hAnsi="Times New Roman" w:eastAsia="宋体" w:cs="Times New Roman"/>
                      <w:kern w:val="2"/>
                      <w:sz w:val="21"/>
                      <w:szCs w:val="21"/>
                      <w:highlight w:val="none"/>
                      <w:lang w:val="en-US" w:eastAsia="zh-CN" w:bidi="ar-SA"/>
                    </w:rPr>
                    <w:t>声校准器</w:t>
                  </w:r>
                </w:p>
              </w:tc>
              <w:tc>
                <w:tcPr>
                  <w:tcW w:w="973" w:type="pct"/>
                  <w:tcBorders>
                    <w:tl2br w:val="nil"/>
                    <w:tr2bl w:val="nil"/>
                  </w:tcBorders>
                  <w:vAlign w:val="center"/>
                </w:tcPr>
                <w:p w14:paraId="2202B503">
                  <w:pPr>
                    <w:keepNext w:val="0"/>
                    <w:keepLines w:val="0"/>
                    <w:pageBreakBefore w:val="0"/>
                    <w:widowControl w:val="0"/>
                    <w:wordWrap/>
                    <w:overflowPunct/>
                    <w:topLinePunct w:val="0"/>
                    <w:bidi w:val="0"/>
                    <w:adjustRightInd w:val="0"/>
                    <w:snapToGrid w:val="0"/>
                    <w:ind w:left="0" w:leftChars="0" w:right="0" w:rightChars="0" w:firstLine="0" w:firstLineChars="0"/>
                    <w:jc w:val="center"/>
                    <w:rPr>
                      <w:rFonts w:hint="default" w:ascii="Times New Roman" w:hAnsi="Times New Roman" w:eastAsia="宋体" w:cs="Times New Roman"/>
                      <w:snapToGrid/>
                      <w:color w:val="FF0000"/>
                      <w:kern w:val="0"/>
                      <w:sz w:val="21"/>
                      <w:szCs w:val="21"/>
                      <w:highlight w:val="none"/>
                      <w:vertAlign w:val="baseline"/>
                      <w:lang w:val="en-US" w:eastAsia="zh-CN" w:bidi="ar-SA"/>
                    </w:rPr>
                  </w:pPr>
                  <w:r>
                    <w:rPr>
                      <w:rFonts w:hint="default" w:ascii="Times New Roman" w:hAnsi="Times New Roman" w:eastAsia="宋体" w:cs="Times New Roman"/>
                      <w:kern w:val="2"/>
                      <w:sz w:val="21"/>
                      <w:szCs w:val="21"/>
                      <w:highlight w:val="none"/>
                      <w:lang w:val="en-US" w:eastAsia="zh-CN" w:bidi="ar-SA"/>
                    </w:rPr>
                    <w:t>AWA5688多功能声级计/ AWA6022A型声校准器</w:t>
                  </w:r>
                </w:p>
              </w:tc>
              <w:tc>
                <w:tcPr>
                  <w:tcW w:w="983" w:type="pct"/>
                  <w:tcBorders>
                    <w:tl2br w:val="nil"/>
                    <w:tr2bl w:val="nil"/>
                  </w:tcBorders>
                  <w:vAlign w:val="center"/>
                </w:tcPr>
                <w:p w14:paraId="331E952B">
                  <w:pPr>
                    <w:keepNext w:val="0"/>
                    <w:keepLines w:val="0"/>
                    <w:pageBreakBefore w:val="0"/>
                    <w:widowControl w:val="0"/>
                    <w:wordWrap/>
                    <w:overflowPunct/>
                    <w:topLinePunct w:val="0"/>
                    <w:bidi w:val="0"/>
                    <w:adjustRightInd w:val="0"/>
                    <w:snapToGrid w:val="0"/>
                    <w:ind w:left="0" w:leftChars="0" w:right="0" w:rightChars="0"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10340253/</w:t>
                  </w:r>
                </w:p>
                <w:p w14:paraId="4A3E50F5">
                  <w:pPr>
                    <w:keepNext w:val="0"/>
                    <w:keepLines w:val="0"/>
                    <w:pageBreakBefore w:val="0"/>
                    <w:widowControl w:val="0"/>
                    <w:wordWrap/>
                    <w:overflowPunct/>
                    <w:topLinePunct w:val="0"/>
                    <w:bidi w:val="0"/>
                    <w:adjustRightInd w:val="0"/>
                    <w:snapToGrid w:val="0"/>
                    <w:ind w:left="0" w:leftChars="0" w:right="0" w:rightChars="0" w:firstLine="0" w:firstLineChars="0"/>
                    <w:jc w:val="center"/>
                    <w:rPr>
                      <w:rFonts w:hint="default" w:ascii="Times New Roman" w:hAnsi="Times New Roman" w:eastAsia="宋体" w:cs="Times New Roman"/>
                      <w:snapToGrid/>
                      <w:color w:val="FF0000"/>
                      <w:kern w:val="0"/>
                      <w:sz w:val="21"/>
                      <w:szCs w:val="21"/>
                      <w:highlight w:val="none"/>
                      <w:vertAlign w:val="baseline"/>
                      <w:lang w:val="en-US" w:eastAsia="zh-CN" w:bidi="ar-SA"/>
                    </w:rPr>
                  </w:pPr>
                  <w:r>
                    <w:rPr>
                      <w:rFonts w:hint="default" w:ascii="Times New Roman" w:hAnsi="Times New Roman" w:eastAsia="宋体" w:cs="Times New Roman"/>
                      <w:kern w:val="2"/>
                      <w:sz w:val="21"/>
                      <w:szCs w:val="21"/>
                      <w:highlight w:val="none"/>
                      <w:lang w:val="en-US" w:eastAsia="zh-CN" w:bidi="ar-SA"/>
                    </w:rPr>
                    <w:t>2023627</w:t>
                  </w:r>
                </w:p>
              </w:tc>
              <w:tc>
                <w:tcPr>
                  <w:tcW w:w="1061" w:type="pct"/>
                  <w:tcBorders>
                    <w:tl2br w:val="nil"/>
                    <w:tr2bl w:val="nil"/>
                  </w:tcBorders>
                  <w:vAlign w:val="center"/>
                </w:tcPr>
                <w:p w14:paraId="0B063640">
                  <w:pPr>
                    <w:keepNext w:val="0"/>
                    <w:keepLines w:val="0"/>
                    <w:pageBreakBefore w:val="0"/>
                    <w:widowControl w:val="0"/>
                    <w:wordWrap/>
                    <w:overflowPunct/>
                    <w:topLinePunct w:val="0"/>
                    <w:bidi w:val="0"/>
                    <w:adjustRightInd w:val="0"/>
                    <w:snapToGrid w:val="0"/>
                    <w:ind w:left="0" w:leftChars="0" w:right="0" w:rightChars="0"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量程范围：28dB（A）</w:t>
                  </w:r>
                </w:p>
                <w:p w14:paraId="2B070E23">
                  <w:pPr>
                    <w:keepNext w:val="0"/>
                    <w:keepLines w:val="0"/>
                    <w:pageBreakBefore w:val="0"/>
                    <w:widowControl w:val="0"/>
                    <w:wordWrap/>
                    <w:overflowPunct/>
                    <w:topLinePunct w:val="0"/>
                    <w:bidi w:val="0"/>
                    <w:adjustRightInd w:val="0"/>
                    <w:snapToGrid w:val="0"/>
                    <w:ind w:left="0" w:leftChars="0" w:right="0" w:rightChars="0"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 xml:space="preserve">～133dB(A) </w:t>
                  </w:r>
                </w:p>
                <w:p w14:paraId="62A763C8">
                  <w:pPr>
                    <w:keepNext w:val="0"/>
                    <w:keepLines w:val="0"/>
                    <w:pageBreakBefore w:val="0"/>
                    <w:widowControl w:val="0"/>
                    <w:wordWrap/>
                    <w:overflowPunct/>
                    <w:topLinePunct w:val="0"/>
                    <w:bidi w:val="0"/>
                    <w:adjustRightInd w:val="0"/>
                    <w:snapToGrid w:val="0"/>
                    <w:ind w:left="0" w:leftChars="0" w:right="0" w:rightChars="0"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频率范围：</w:t>
                  </w:r>
                </w:p>
                <w:p w14:paraId="5CBA992B">
                  <w:pPr>
                    <w:keepNext w:val="0"/>
                    <w:keepLines w:val="0"/>
                    <w:pageBreakBefore w:val="0"/>
                    <w:widowControl w:val="0"/>
                    <w:wordWrap/>
                    <w:overflowPunct/>
                    <w:topLinePunct w:val="0"/>
                    <w:bidi w:val="0"/>
                    <w:adjustRightInd w:val="0"/>
                    <w:snapToGrid w:val="0"/>
                    <w:ind w:left="0" w:leftChars="0" w:right="0" w:rightChars="0"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20Hz～12.5kHz/</w:t>
                  </w:r>
                </w:p>
                <w:p w14:paraId="635C7374">
                  <w:pPr>
                    <w:keepNext w:val="0"/>
                    <w:keepLines w:val="0"/>
                    <w:pageBreakBefore w:val="0"/>
                    <w:widowControl w:val="0"/>
                    <w:wordWrap/>
                    <w:overflowPunct/>
                    <w:topLinePunct w:val="0"/>
                    <w:bidi w:val="0"/>
                    <w:adjustRightInd w:val="0"/>
                    <w:snapToGrid w:val="0"/>
                    <w:ind w:left="0" w:leftChars="0" w:right="0" w:rightChars="0"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标准声压级：114dB</w:t>
                  </w:r>
                </w:p>
                <w:p w14:paraId="6875E080">
                  <w:pPr>
                    <w:keepNext w:val="0"/>
                    <w:keepLines w:val="0"/>
                    <w:pageBreakBefore w:val="0"/>
                    <w:widowControl w:val="0"/>
                    <w:wordWrap/>
                    <w:overflowPunct/>
                    <w:topLinePunct w:val="0"/>
                    <w:bidi w:val="0"/>
                    <w:adjustRightInd w:val="0"/>
                    <w:snapToGrid w:val="0"/>
                    <w:ind w:left="0" w:leftChars="0" w:right="0" w:rightChars="0"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频率范围：</w:t>
                  </w:r>
                </w:p>
                <w:p w14:paraId="5AFC16F0">
                  <w:pPr>
                    <w:keepNext w:val="0"/>
                    <w:keepLines w:val="0"/>
                    <w:pageBreakBefore w:val="0"/>
                    <w:widowControl w:val="0"/>
                    <w:wordWrap/>
                    <w:overflowPunct/>
                    <w:topLinePunct w:val="0"/>
                    <w:bidi w:val="0"/>
                    <w:adjustRightInd w:val="0"/>
                    <w:snapToGrid w:val="0"/>
                    <w:ind w:left="0" w:leftChars="0" w:right="0" w:rightChars="0" w:firstLine="0" w:firstLineChars="0"/>
                    <w:jc w:val="center"/>
                    <w:rPr>
                      <w:rFonts w:hint="default" w:ascii="Times New Roman" w:hAnsi="Times New Roman" w:eastAsia="宋体" w:cs="Times New Roman"/>
                      <w:snapToGrid/>
                      <w:color w:val="FF0000"/>
                      <w:kern w:val="0"/>
                      <w:sz w:val="21"/>
                      <w:szCs w:val="21"/>
                      <w:highlight w:val="none"/>
                      <w:vertAlign w:val="baseline"/>
                      <w:lang w:val="en-US" w:eastAsia="zh-CN" w:bidi="ar-SA"/>
                    </w:rPr>
                  </w:pPr>
                  <w:r>
                    <w:rPr>
                      <w:rFonts w:hint="default" w:ascii="Times New Roman" w:hAnsi="Times New Roman" w:eastAsia="宋体" w:cs="Times New Roman"/>
                      <w:kern w:val="2"/>
                      <w:sz w:val="21"/>
                      <w:szCs w:val="21"/>
                      <w:highlight w:val="none"/>
                      <w:lang w:val="en-US" w:eastAsia="zh-CN" w:bidi="ar-SA"/>
                    </w:rPr>
                    <w:t>1000Hz</w:t>
                  </w:r>
                </w:p>
              </w:tc>
              <w:tc>
                <w:tcPr>
                  <w:tcW w:w="1059" w:type="pct"/>
                  <w:tcBorders>
                    <w:tl2br w:val="nil"/>
                    <w:tr2bl w:val="nil"/>
                  </w:tcBorders>
                  <w:vAlign w:val="center"/>
                </w:tcPr>
                <w:p w14:paraId="5072D886">
                  <w:pPr>
                    <w:keepNext w:val="0"/>
                    <w:keepLines w:val="0"/>
                    <w:pageBreakBefore w:val="0"/>
                    <w:widowControl w:val="0"/>
                    <w:wordWrap/>
                    <w:overflowPunct/>
                    <w:topLinePunct w:val="0"/>
                    <w:bidi w:val="0"/>
                    <w:adjustRightInd w:val="0"/>
                    <w:snapToGrid w:val="0"/>
                    <w:ind w:left="0" w:leftChars="0" w:right="0" w:rightChars="0"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多功能声级计：LX202</w:t>
                  </w:r>
                  <w:r>
                    <w:rPr>
                      <w:rFonts w:hint="eastAsia" w:ascii="Times New Roman" w:hAnsi="Times New Roman" w:eastAsia="宋体" w:cs="Times New Roman"/>
                      <w:kern w:val="2"/>
                      <w:sz w:val="21"/>
                      <w:szCs w:val="21"/>
                      <w:highlight w:val="none"/>
                      <w:lang w:val="en-US" w:eastAsia="zh-CN" w:bidi="ar-SA"/>
                    </w:rPr>
                    <w:t>4</w:t>
                  </w:r>
                  <w:r>
                    <w:rPr>
                      <w:rFonts w:hint="default" w:ascii="Times New Roman" w:hAnsi="Times New Roman" w:eastAsia="宋体" w:cs="Times New Roman"/>
                      <w:kern w:val="2"/>
                      <w:sz w:val="21"/>
                      <w:szCs w:val="21"/>
                      <w:highlight w:val="none"/>
                      <w:lang w:val="en-US" w:eastAsia="zh-CN" w:bidi="ar-SA"/>
                    </w:rPr>
                    <w:t>B-01</w:t>
                  </w:r>
                  <w:r>
                    <w:rPr>
                      <w:rFonts w:hint="eastAsia" w:ascii="Times New Roman" w:hAnsi="Times New Roman" w:eastAsia="宋体" w:cs="Times New Roman"/>
                      <w:kern w:val="2"/>
                      <w:sz w:val="21"/>
                      <w:szCs w:val="21"/>
                      <w:highlight w:val="none"/>
                      <w:lang w:val="en-US" w:eastAsia="zh-CN" w:bidi="ar-SA"/>
                    </w:rPr>
                    <w:t>1</w:t>
                  </w:r>
                  <w:r>
                    <w:rPr>
                      <w:rFonts w:hint="default" w:ascii="Times New Roman" w:hAnsi="Times New Roman" w:eastAsia="宋体" w:cs="Times New Roman"/>
                      <w:kern w:val="2"/>
                      <w:sz w:val="21"/>
                      <w:szCs w:val="21"/>
                      <w:highlight w:val="none"/>
                      <w:lang w:val="en-US" w:eastAsia="zh-CN" w:bidi="ar-SA"/>
                    </w:rPr>
                    <w:t>0</w:t>
                  </w:r>
                  <w:r>
                    <w:rPr>
                      <w:rFonts w:hint="eastAsia" w:ascii="Times New Roman" w:hAnsi="Times New Roman" w:eastAsia="宋体" w:cs="Times New Roman"/>
                      <w:kern w:val="2"/>
                      <w:sz w:val="21"/>
                      <w:szCs w:val="21"/>
                      <w:highlight w:val="none"/>
                      <w:lang w:val="en-US" w:eastAsia="zh-CN" w:bidi="ar-SA"/>
                    </w:rPr>
                    <w:t>48</w:t>
                  </w:r>
                </w:p>
                <w:p w14:paraId="78AAE9EF">
                  <w:pPr>
                    <w:keepNext w:val="0"/>
                    <w:keepLines w:val="0"/>
                    <w:pageBreakBefore w:val="0"/>
                    <w:widowControl w:val="0"/>
                    <w:wordWrap/>
                    <w:overflowPunct/>
                    <w:topLinePunct w:val="0"/>
                    <w:bidi w:val="0"/>
                    <w:adjustRightInd w:val="0"/>
                    <w:snapToGrid w:val="0"/>
                    <w:ind w:left="0" w:leftChars="0" w:right="0" w:rightChars="0"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有效期至202</w:t>
                  </w:r>
                  <w:r>
                    <w:rPr>
                      <w:rFonts w:hint="eastAsia" w:ascii="Times New Roman" w:hAnsi="Times New Roman" w:eastAsia="宋体" w:cs="Times New Roman"/>
                      <w:kern w:val="2"/>
                      <w:sz w:val="21"/>
                      <w:szCs w:val="21"/>
                      <w:highlight w:val="none"/>
                      <w:lang w:val="en-US" w:eastAsia="zh-CN" w:bidi="ar-SA"/>
                    </w:rPr>
                    <w:t>5</w:t>
                  </w:r>
                  <w:r>
                    <w:rPr>
                      <w:rFonts w:hint="default" w:ascii="Times New Roman" w:hAnsi="Times New Roman" w:eastAsia="宋体" w:cs="Times New Roman"/>
                      <w:kern w:val="2"/>
                      <w:sz w:val="21"/>
                      <w:szCs w:val="21"/>
                      <w:highlight w:val="none"/>
                      <w:lang w:val="en-US" w:eastAsia="zh-CN" w:bidi="ar-SA"/>
                    </w:rPr>
                    <w:t>年</w:t>
                  </w:r>
                </w:p>
                <w:p w14:paraId="3CB0605B">
                  <w:pPr>
                    <w:keepNext w:val="0"/>
                    <w:keepLines w:val="0"/>
                    <w:pageBreakBefore w:val="0"/>
                    <w:widowControl w:val="0"/>
                    <w:wordWrap/>
                    <w:overflowPunct/>
                    <w:topLinePunct w:val="0"/>
                    <w:bidi w:val="0"/>
                    <w:adjustRightInd w:val="0"/>
                    <w:snapToGrid w:val="0"/>
                    <w:ind w:left="0" w:leftChars="0" w:right="0" w:rightChars="0"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10月2</w:t>
                  </w:r>
                  <w:r>
                    <w:rPr>
                      <w:rFonts w:hint="eastAsia" w:ascii="Times New Roman" w:hAnsi="Times New Roman" w:eastAsia="宋体" w:cs="Times New Roman"/>
                      <w:kern w:val="2"/>
                      <w:sz w:val="21"/>
                      <w:szCs w:val="21"/>
                      <w:highlight w:val="none"/>
                      <w:lang w:val="en-US" w:eastAsia="zh-CN" w:bidi="ar-SA"/>
                    </w:rPr>
                    <w:t>9</w:t>
                  </w:r>
                  <w:r>
                    <w:rPr>
                      <w:rFonts w:hint="default" w:ascii="Times New Roman" w:hAnsi="Times New Roman" w:eastAsia="宋体" w:cs="Times New Roman"/>
                      <w:kern w:val="2"/>
                      <w:sz w:val="21"/>
                      <w:szCs w:val="21"/>
                      <w:highlight w:val="none"/>
                      <w:lang w:val="en-US" w:eastAsia="zh-CN" w:bidi="ar-SA"/>
                    </w:rPr>
                    <w:t xml:space="preserve">日/ </w:t>
                  </w:r>
                </w:p>
                <w:p w14:paraId="35FB907E">
                  <w:pPr>
                    <w:keepNext w:val="0"/>
                    <w:keepLines w:val="0"/>
                    <w:pageBreakBefore w:val="0"/>
                    <w:widowControl w:val="0"/>
                    <w:wordWrap/>
                    <w:overflowPunct/>
                    <w:topLinePunct w:val="0"/>
                    <w:bidi w:val="0"/>
                    <w:adjustRightInd w:val="0"/>
                    <w:snapToGrid w:val="0"/>
                    <w:ind w:left="0" w:leftChars="0" w:right="0" w:rightChars="0"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声校准器：LX202</w:t>
                  </w:r>
                  <w:r>
                    <w:rPr>
                      <w:rFonts w:hint="eastAsia" w:ascii="Times New Roman" w:hAnsi="Times New Roman" w:eastAsia="宋体" w:cs="Times New Roman"/>
                      <w:kern w:val="2"/>
                      <w:sz w:val="21"/>
                      <w:szCs w:val="21"/>
                      <w:highlight w:val="none"/>
                      <w:lang w:val="en-US" w:eastAsia="zh-CN" w:bidi="ar-SA"/>
                    </w:rPr>
                    <w:t>4</w:t>
                  </w:r>
                  <w:r>
                    <w:rPr>
                      <w:rFonts w:hint="default" w:ascii="Times New Roman" w:hAnsi="Times New Roman" w:eastAsia="宋体" w:cs="Times New Roman"/>
                      <w:kern w:val="2"/>
                      <w:sz w:val="21"/>
                      <w:szCs w:val="21"/>
                      <w:highlight w:val="none"/>
                      <w:lang w:val="en-US" w:eastAsia="zh-CN" w:bidi="ar-SA"/>
                    </w:rPr>
                    <w:t>B-01</w:t>
                  </w:r>
                  <w:r>
                    <w:rPr>
                      <w:rFonts w:hint="eastAsia" w:ascii="Times New Roman" w:hAnsi="Times New Roman" w:eastAsia="宋体" w:cs="Times New Roman"/>
                      <w:kern w:val="2"/>
                      <w:sz w:val="21"/>
                      <w:szCs w:val="21"/>
                      <w:highlight w:val="none"/>
                      <w:lang w:val="en-US" w:eastAsia="zh-CN" w:bidi="ar-SA"/>
                    </w:rPr>
                    <w:t>1</w:t>
                  </w:r>
                  <w:r>
                    <w:rPr>
                      <w:rFonts w:hint="default" w:ascii="Times New Roman" w:hAnsi="Times New Roman" w:eastAsia="宋体" w:cs="Times New Roman"/>
                      <w:kern w:val="2"/>
                      <w:sz w:val="21"/>
                      <w:szCs w:val="21"/>
                      <w:highlight w:val="none"/>
                      <w:lang w:val="en-US" w:eastAsia="zh-CN" w:bidi="ar-SA"/>
                    </w:rPr>
                    <w:t>0</w:t>
                  </w:r>
                  <w:r>
                    <w:rPr>
                      <w:rFonts w:hint="eastAsia" w:ascii="Times New Roman" w:hAnsi="Times New Roman" w:eastAsia="宋体" w:cs="Times New Roman"/>
                      <w:kern w:val="2"/>
                      <w:sz w:val="21"/>
                      <w:szCs w:val="21"/>
                      <w:highlight w:val="none"/>
                      <w:lang w:val="en-US" w:eastAsia="zh-CN" w:bidi="ar-SA"/>
                    </w:rPr>
                    <w:t>49</w:t>
                  </w:r>
                </w:p>
                <w:p w14:paraId="57767FA4">
                  <w:pPr>
                    <w:keepNext w:val="0"/>
                    <w:keepLines w:val="0"/>
                    <w:pageBreakBefore w:val="0"/>
                    <w:widowControl w:val="0"/>
                    <w:wordWrap/>
                    <w:overflowPunct/>
                    <w:topLinePunct w:val="0"/>
                    <w:bidi w:val="0"/>
                    <w:adjustRightInd w:val="0"/>
                    <w:snapToGrid w:val="0"/>
                    <w:ind w:left="0" w:leftChars="0" w:right="0" w:rightChars="0"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有效期至202</w:t>
                  </w:r>
                  <w:r>
                    <w:rPr>
                      <w:rFonts w:hint="eastAsia" w:ascii="Times New Roman" w:hAnsi="Times New Roman" w:eastAsia="宋体" w:cs="Times New Roman"/>
                      <w:kern w:val="2"/>
                      <w:sz w:val="21"/>
                      <w:szCs w:val="21"/>
                      <w:highlight w:val="none"/>
                      <w:lang w:val="en-US" w:eastAsia="zh-CN" w:bidi="ar-SA"/>
                    </w:rPr>
                    <w:t>5</w:t>
                  </w:r>
                  <w:r>
                    <w:rPr>
                      <w:rFonts w:hint="default" w:ascii="Times New Roman" w:hAnsi="Times New Roman" w:eastAsia="宋体" w:cs="Times New Roman"/>
                      <w:kern w:val="2"/>
                      <w:sz w:val="21"/>
                      <w:szCs w:val="21"/>
                      <w:highlight w:val="none"/>
                      <w:lang w:val="en-US" w:eastAsia="zh-CN" w:bidi="ar-SA"/>
                    </w:rPr>
                    <w:t>年</w:t>
                  </w:r>
                </w:p>
                <w:p w14:paraId="04AAAD52">
                  <w:pPr>
                    <w:keepNext w:val="0"/>
                    <w:keepLines w:val="0"/>
                    <w:pageBreakBefore w:val="0"/>
                    <w:widowControl w:val="0"/>
                    <w:wordWrap/>
                    <w:overflowPunct/>
                    <w:topLinePunct w:val="0"/>
                    <w:bidi w:val="0"/>
                    <w:adjustRightInd w:val="0"/>
                    <w:snapToGrid w:val="0"/>
                    <w:ind w:left="0" w:leftChars="0" w:right="0" w:rightChars="0" w:firstLine="0" w:firstLineChars="0"/>
                    <w:jc w:val="center"/>
                    <w:rPr>
                      <w:rFonts w:hint="default" w:ascii="Times New Roman" w:hAnsi="Times New Roman" w:eastAsia="宋体" w:cs="Times New Roman"/>
                      <w:snapToGrid/>
                      <w:color w:val="FF0000"/>
                      <w:kern w:val="0"/>
                      <w:sz w:val="21"/>
                      <w:szCs w:val="21"/>
                      <w:highlight w:val="none"/>
                      <w:vertAlign w:val="baseline"/>
                      <w:lang w:val="en-US" w:eastAsia="zh-CN" w:bidi="ar-SA"/>
                    </w:rPr>
                  </w:pPr>
                  <w:r>
                    <w:rPr>
                      <w:rFonts w:hint="default" w:ascii="Times New Roman" w:hAnsi="Times New Roman" w:eastAsia="宋体" w:cs="Times New Roman"/>
                      <w:kern w:val="2"/>
                      <w:sz w:val="21"/>
                      <w:szCs w:val="21"/>
                      <w:highlight w:val="none"/>
                      <w:lang w:val="en-US" w:eastAsia="zh-CN" w:bidi="ar-SA"/>
                    </w:rPr>
                    <w:t>10月2</w:t>
                  </w:r>
                  <w:r>
                    <w:rPr>
                      <w:rFonts w:hint="eastAsia" w:ascii="Times New Roman" w:hAnsi="Times New Roman" w:eastAsia="宋体" w:cs="Times New Roman"/>
                      <w:kern w:val="2"/>
                      <w:sz w:val="21"/>
                      <w:szCs w:val="21"/>
                      <w:highlight w:val="none"/>
                      <w:lang w:val="en-US" w:eastAsia="zh-CN" w:bidi="ar-SA"/>
                    </w:rPr>
                    <w:t>8</w:t>
                  </w:r>
                  <w:r>
                    <w:rPr>
                      <w:rFonts w:hint="default" w:ascii="Times New Roman" w:hAnsi="Times New Roman" w:eastAsia="宋体" w:cs="Times New Roman"/>
                      <w:kern w:val="2"/>
                      <w:sz w:val="21"/>
                      <w:szCs w:val="21"/>
                      <w:highlight w:val="none"/>
                      <w:lang w:val="en-US" w:eastAsia="zh-CN" w:bidi="ar-SA"/>
                    </w:rPr>
                    <w:t>日</w:t>
                  </w:r>
                </w:p>
              </w:tc>
            </w:tr>
          </w:tbl>
          <w:p w14:paraId="46D54180">
            <w:pPr>
              <w:keepNext w:val="0"/>
              <w:keepLines w:val="0"/>
              <w:pageBreakBefore w:val="0"/>
              <w:widowControl/>
              <w:kinsoku/>
              <w:wordWrap/>
              <w:overflowPunct/>
              <w:topLinePunct w:val="0"/>
              <w:autoSpaceDE/>
              <w:autoSpaceDN/>
              <w:bidi w:val="0"/>
              <w:adjustRightInd/>
              <w:snapToGrid/>
              <w:spacing w:line="360" w:lineRule="auto"/>
              <w:ind w:left="479" w:leftChars="228" w:firstLine="0" w:firstLineChars="0"/>
              <w:jc w:val="left"/>
              <w:textAlignment w:val="auto"/>
              <w:rPr>
                <w:rFonts w:hint="eastAsia" w:ascii="Times New Roman" w:hAnsi="Times New Roman" w:eastAsia="宋体" w:cs="Times New Roman"/>
                <w:snapToGrid/>
                <w:color w:val="FF0000"/>
                <w:kern w:val="0"/>
                <w:sz w:val="24"/>
                <w:szCs w:val="24"/>
                <w:lang w:val="en-US" w:eastAsia="zh-CN" w:bidi="ar-SA"/>
              </w:rPr>
            </w:pPr>
          </w:p>
          <w:p w14:paraId="7BAAD240">
            <w:pPr>
              <w:keepNext w:val="0"/>
              <w:keepLines w:val="0"/>
              <w:pageBreakBefore w:val="0"/>
              <w:widowControl/>
              <w:kinsoku/>
              <w:wordWrap/>
              <w:overflowPunct/>
              <w:topLinePunct w:val="0"/>
              <w:autoSpaceDE/>
              <w:autoSpaceDN/>
              <w:bidi w:val="0"/>
              <w:adjustRightInd/>
              <w:snapToGrid/>
              <w:spacing w:line="360" w:lineRule="auto"/>
              <w:ind w:left="479" w:leftChars="228" w:firstLine="0" w:firstLineChars="0"/>
              <w:jc w:val="left"/>
              <w:textAlignment w:val="auto"/>
              <w:rPr>
                <w:rFonts w:hint="eastAsia" w:ascii="Times New Roman" w:hAnsi="Times New Roman" w:eastAsia="宋体" w:cs="Times New Roman"/>
                <w:snapToGrid/>
                <w:color w:val="FF0000"/>
                <w:kern w:val="0"/>
                <w:sz w:val="24"/>
                <w:szCs w:val="24"/>
                <w:lang w:val="en-US" w:eastAsia="zh-CN" w:bidi="ar-SA"/>
              </w:rPr>
            </w:pPr>
          </w:p>
          <w:p w14:paraId="368CA9B1">
            <w:pPr>
              <w:keepNext w:val="0"/>
              <w:keepLines w:val="0"/>
              <w:pageBreakBefore w:val="0"/>
              <w:widowControl/>
              <w:kinsoku/>
              <w:wordWrap/>
              <w:overflowPunct/>
              <w:topLinePunct w:val="0"/>
              <w:autoSpaceDE/>
              <w:autoSpaceDN/>
              <w:bidi w:val="0"/>
              <w:adjustRightInd/>
              <w:snapToGrid/>
              <w:spacing w:line="360" w:lineRule="auto"/>
              <w:ind w:left="479" w:leftChars="228" w:firstLine="0" w:firstLineChars="0"/>
              <w:jc w:val="left"/>
              <w:textAlignment w:val="auto"/>
              <w:rPr>
                <w:rFonts w:hint="default" w:ascii="Times New Roman" w:hAnsi="Times New Roman" w:eastAsia="宋体" w:cs="Times New Roman"/>
                <w:snapToGrid/>
                <w:color w:val="FF0000"/>
                <w:kern w:val="0"/>
                <w:sz w:val="24"/>
                <w:szCs w:val="24"/>
                <w:lang w:val="en-US" w:eastAsia="zh-CN" w:bidi="ar-SA"/>
              </w:rPr>
            </w:pPr>
          </w:p>
        </w:tc>
      </w:tr>
      <w:tr w14:paraId="08C7F1F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334" w:hRule="atLeast"/>
          <w:jc w:val="center"/>
        </w:trPr>
        <w:tc>
          <w:tcPr>
            <w:tcW w:w="5000" w:type="pct"/>
            <w:tcBorders>
              <w:tl2br w:val="nil"/>
              <w:tr2bl w:val="nil"/>
            </w:tcBorders>
            <w:vAlign w:val="top"/>
          </w:tcPr>
          <w:p w14:paraId="5BBDF155">
            <w:pPr>
              <w:widowControl/>
              <w:kinsoku/>
              <w:autoSpaceDE/>
              <w:autoSpaceDN/>
              <w:adjustRightInd/>
              <w:snapToGrid/>
              <w:spacing w:line="240" w:lineRule="auto"/>
              <w:jc w:val="left"/>
              <w:textAlignment w:val="auto"/>
              <w:rPr>
                <w:rFonts w:hint="default" w:ascii="Times New Roman" w:hAnsi="Times New Roman" w:eastAsia="宋体" w:cs="Times New Roman"/>
                <w:b/>
                <w:bCs/>
                <w:snapToGrid/>
                <w:color w:val="auto"/>
                <w:kern w:val="0"/>
                <w:sz w:val="24"/>
                <w:szCs w:val="24"/>
                <w:lang w:val="en-US" w:eastAsia="zh-CN" w:bidi="ar-SA"/>
              </w:rPr>
            </w:pPr>
            <w:r>
              <w:rPr>
                <w:rFonts w:hint="default" w:ascii="Times New Roman" w:hAnsi="Times New Roman" w:eastAsia="宋体" w:cs="Times New Roman"/>
                <w:b/>
                <w:bCs/>
                <w:snapToGrid/>
                <w:color w:val="auto"/>
                <w:kern w:val="0"/>
                <w:sz w:val="24"/>
                <w:szCs w:val="24"/>
                <w:lang w:val="en-US" w:eastAsia="zh-CN" w:bidi="ar-SA"/>
              </w:rPr>
              <w:t>监测结果分析</w:t>
            </w:r>
          </w:p>
          <w:p w14:paraId="6AA9295C">
            <w:pPr>
              <w:widowControl/>
              <w:kinsoku/>
              <w:autoSpaceDE/>
              <w:autoSpaceDN/>
              <w:adjustRightInd/>
              <w:snapToGrid/>
              <w:spacing w:line="240" w:lineRule="auto"/>
              <w:jc w:val="center"/>
              <w:textAlignment w:val="auto"/>
              <w:rPr>
                <w:rFonts w:hint="default" w:ascii="Times New Roman" w:hAnsi="Times New Roman" w:eastAsia="宋体" w:cs="Times New Roman"/>
                <w:b/>
                <w:bCs/>
                <w:snapToGrid/>
                <w:color w:val="auto"/>
                <w:kern w:val="0"/>
                <w:sz w:val="24"/>
                <w:szCs w:val="24"/>
                <w:lang w:val="en-US" w:eastAsia="zh-CN" w:bidi="ar-SA"/>
              </w:rPr>
            </w:pPr>
            <w:r>
              <w:rPr>
                <w:rFonts w:hint="default" w:ascii="Times New Roman" w:hAnsi="Times New Roman" w:eastAsia="宋体" w:cs="Times New Roman"/>
                <w:b/>
                <w:bCs/>
                <w:snapToGrid/>
                <w:color w:val="auto"/>
                <w:kern w:val="0"/>
                <w:sz w:val="24"/>
                <w:szCs w:val="24"/>
                <w:lang w:val="en-US" w:eastAsia="zh-CN" w:bidi="ar-SA"/>
              </w:rPr>
              <w:t>表7.5噪声结果一览表</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
              <w:gridCol w:w="850"/>
              <w:gridCol w:w="3295"/>
              <w:gridCol w:w="826"/>
              <w:gridCol w:w="793"/>
              <w:gridCol w:w="826"/>
              <w:gridCol w:w="793"/>
            </w:tblGrid>
            <w:tr w14:paraId="15E01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906" w:type="dxa"/>
                  <w:vMerge w:val="restart"/>
                  <w:tcBorders>
                    <w:tl2br w:val="nil"/>
                    <w:tr2bl w:val="nil"/>
                  </w:tcBorders>
                  <w:noWrap w:val="0"/>
                  <w:vAlign w:val="center"/>
                </w:tcPr>
                <w:p w14:paraId="05351EB3">
                  <w:pPr>
                    <w:pStyle w:val="6"/>
                    <w:keepNext w:val="0"/>
                    <w:keepLines w:val="0"/>
                    <w:pageBreakBefore w:val="0"/>
                    <w:widowControl/>
                    <w:kinsoku w:val="0"/>
                    <w:wordWrap/>
                    <w:overflowPunct/>
                    <w:topLinePunct w:val="0"/>
                    <w:autoSpaceDE w:val="0"/>
                    <w:autoSpaceDN w:val="0"/>
                    <w:bidi w:val="0"/>
                    <w:adjustRightInd w:val="0"/>
                    <w:snapToGrid w:val="0"/>
                    <w:spacing w:after="0" w:afterLines="0" w:line="240" w:lineRule="auto"/>
                    <w:ind w:left="0" w:leftChars="0" w:right="0" w:rightChars="0" w:firstLine="0"/>
                    <w:jc w:val="center"/>
                    <w:textAlignment w:val="baseline"/>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检测</w:t>
                  </w:r>
                </w:p>
                <w:p w14:paraId="2D0089C4">
                  <w:pPr>
                    <w:pStyle w:val="6"/>
                    <w:keepNext w:val="0"/>
                    <w:keepLines w:val="0"/>
                    <w:pageBreakBefore w:val="0"/>
                    <w:widowControl/>
                    <w:kinsoku w:val="0"/>
                    <w:wordWrap/>
                    <w:overflowPunct/>
                    <w:topLinePunct w:val="0"/>
                    <w:autoSpaceDE w:val="0"/>
                    <w:autoSpaceDN w:val="0"/>
                    <w:bidi w:val="0"/>
                    <w:adjustRightInd w:val="0"/>
                    <w:snapToGrid w:val="0"/>
                    <w:spacing w:after="0" w:afterLines="0" w:line="240" w:lineRule="auto"/>
                    <w:ind w:left="0" w:leftChars="0" w:right="0" w:rightChars="0" w:firstLine="0"/>
                    <w:jc w:val="center"/>
                    <w:textAlignment w:val="baseline"/>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val="en-US" w:eastAsia="zh-CN"/>
                    </w:rPr>
                    <w:t>时间</w:t>
                  </w:r>
                </w:p>
              </w:tc>
              <w:tc>
                <w:tcPr>
                  <w:tcW w:w="850" w:type="dxa"/>
                  <w:vMerge w:val="restart"/>
                  <w:tcBorders>
                    <w:tl2br w:val="nil"/>
                    <w:tr2bl w:val="nil"/>
                  </w:tcBorders>
                  <w:noWrap w:val="0"/>
                  <w:vAlign w:val="center"/>
                </w:tcPr>
                <w:p w14:paraId="27AE1125">
                  <w:pPr>
                    <w:pStyle w:val="6"/>
                    <w:keepNext w:val="0"/>
                    <w:keepLines w:val="0"/>
                    <w:pageBreakBefore w:val="0"/>
                    <w:widowControl/>
                    <w:kinsoku w:val="0"/>
                    <w:wordWrap/>
                    <w:overflowPunct/>
                    <w:topLinePunct w:val="0"/>
                    <w:autoSpaceDE w:val="0"/>
                    <w:autoSpaceDN w:val="0"/>
                    <w:bidi w:val="0"/>
                    <w:adjustRightInd w:val="0"/>
                    <w:snapToGrid w:val="0"/>
                    <w:spacing w:after="0" w:afterLines="0" w:line="240" w:lineRule="auto"/>
                    <w:ind w:left="0" w:leftChars="0" w:right="0" w:rightChars="0" w:firstLine="0"/>
                    <w:jc w:val="center"/>
                    <w:textAlignment w:val="baseline"/>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检测点</w:t>
                  </w:r>
                </w:p>
                <w:p w14:paraId="2BC97763">
                  <w:pPr>
                    <w:pStyle w:val="6"/>
                    <w:keepNext w:val="0"/>
                    <w:keepLines w:val="0"/>
                    <w:pageBreakBefore w:val="0"/>
                    <w:widowControl/>
                    <w:kinsoku w:val="0"/>
                    <w:wordWrap/>
                    <w:overflowPunct/>
                    <w:topLinePunct w:val="0"/>
                    <w:autoSpaceDE w:val="0"/>
                    <w:autoSpaceDN w:val="0"/>
                    <w:bidi w:val="0"/>
                    <w:adjustRightInd w:val="0"/>
                    <w:snapToGrid w:val="0"/>
                    <w:spacing w:after="0" w:afterLines="0" w:line="240" w:lineRule="auto"/>
                    <w:ind w:left="0" w:leftChars="0" w:right="0" w:rightChars="0" w:firstLine="0" w:firstLineChars="0"/>
                    <w:jc w:val="center"/>
                    <w:textAlignment w:val="baseline"/>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位序号</w:t>
                  </w:r>
                </w:p>
              </w:tc>
              <w:tc>
                <w:tcPr>
                  <w:tcW w:w="3295" w:type="dxa"/>
                  <w:vMerge w:val="restart"/>
                  <w:tcBorders>
                    <w:tl2br w:val="nil"/>
                    <w:tr2bl w:val="nil"/>
                  </w:tcBorders>
                  <w:noWrap w:val="0"/>
                  <w:vAlign w:val="center"/>
                </w:tcPr>
                <w:p w14:paraId="20F420F8">
                  <w:pPr>
                    <w:pStyle w:val="6"/>
                    <w:keepNext w:val="0"/>
                    <w:keepLines w:val="0"/>
                    <w:pageBreakBefore w:val="0"/>
                    <w:widowControl/>
                    <w:kinsoku w:val="0"/>
                    <w:wordWrap/>
                    <w:overflowPunct/>
                    <w:topLinePunct w:val="0"/>
                    <w:autoSpaceDE w:val="0"/>
                    <w:autoSpaceDN w:val="0"/>
                    <w:bidi w:val="0"/>
                    <w:adjustRightInd w:val="0"/>
                    <w:snapToGrid w:val="0"/>
                    <w:spacing w:after="0" w:afterLines="0" w:line="240" w:lineRule="auto"/>
                    <w:ind w:left="0" w:leftChars="0" w:right="0" w:rightChars="0" w:firstLine="0"/>
                    <w:jc w:val="center"/>
                    <w:textAlignment w:val="baseline"/>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监测点位置</w:t>
                  </w:r>
                </w:p>
              </w:tc>
              <w:tc>
                <w:tcPr>
                  <w:tcW w:w="1619" w:type="dxa"/>
                  <w:gridSpan w:val="2"/>
                  <w:tcBorders>
                    <w:tl2br w:val="nil"/>
                    <w:tr2bl w:val="nil"/>
                  </w:tcBorders>
                  <w:noWrap w:val="0"/>
                  <w:vAlign w:val="center"/>
                </w:tcPr>
                <w:p w14:paraId="18EB68EF">
                  <w:pPr>
                    <w:pStyle w:val="6"/>
                    <w:keepNext w:val="0"/>
                    <w:keepLines w:val="0"/>
                    <w:pageBreakBefore w:val="0"/>
                    <w:widowControl/>
                    <w:kinsoku w:val="0"/>
                    <w:wordWrap/>
                    <w:overflowPunct/>
                    <w:topLinePunct w:val="0"/>
                    <w:autoSpaceDE w:val="0"/>
                    <w:autoSpaceDN w:val="0"/>
                    <w:bidi w:val="0"/>
                    <w:adjustRightInd w:val="0"/>
                    <w:snapToGrid w:val="0"/>
                    <w:spacing w:after="0" w:afterLines="0" w:line="240" w:lineRule="auto"/>
                    <w:ind w:left="0" w:leftChars="0" w:right="0" w:rightChars="0" w:firstLine="0"/>
                    <w:jc w:val="center"/>
                    <w:textAlignment w:val="baseline"/>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昼间（dB(A)）</w:t>
                  </w:r>
                </w:p>
              </w:tc>
              <w:tc>
                <w:tcPr>
                  <w:tcW w:w="1619" w:type="dxa"/>
                  <w:gridSpan w:val="2"/>
                  <w:tcBorders>
                    <w:tl2br w:val="nil"/>
                    <w:tr2bl w:val="nil"/>
                  </w:tcBorders>
                  <w:noWrap w:val="0"/>
                  <w:vAlign w:val="center"/>
                </w:tcPr>
                <w:p w14:paraId="60CC5F23">
                  <w:pPr>
                    <w:pStyle w:val="6"/>
                    <w:keepNext w:val="0"/>
                    <w:keepLines w:val="0"/>
                    <w:pageBreakBefore w:val="0"/>
                    <w:widowControl/>
                    <w:kinsoku w:val="0"/>
                    <w:wordWrap/>
                    <w:overflowPunct/>
                    <w:topLinePunct w:val="0"/>
                    <w:autoSpaceDE w:val="0"/>
                    <w:autoSpaceDN w:val="0"/>
                    <w:bidi w:val="0"/>
                    <w:adjustRightInd w:val="0"/>
                    <w:snapToGrid w:val="0"/>
                    <w:spacing w:after="0" w:afterLines="0" w:line="240" w:lineRule="auto"/>
                    <w:ind w:left="0" w:leftChars="0" w:right="0" w:rightChars="0" w:firstLine="0"/>
                    <w:jc w:val="center"/>
                    <w:textAlignment w:val="baseline"/>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夜间（dB(A)）</w:t>
                  </w:r>
                </w:p>
              </w:tc>
            </w:tr>
            <w:tr w14:paraId="590C2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906" w:type="dxa"/>
                  <w:vMerge w:val="continue"/>
                  <w:tcBorders>
                    <w:tl2br w:val="nil"/>
                    <w:tr2bl w:val="nil"/>
                  </w:tcBorders>
                  <w:noWrap w:val="0"/>
                  <w:vAlign w:val="center"/>
                </w:tcPr>
                <w:p w14:paraId="7CA09DD6">
                  <w:pPr>
                    <w:pStyle w:val="6"/>
                    <w:keepNext w:val="0"/>
                    <w:keepLines w:val="0"/>
                    <w:pageBreakBefore w:val="0"/>
                    <w:widowControl/>
                    <w:kinsoku w:val="0"/>
                    <w:wordWrap/>
                    <w:overflowPunct/>
                    <w:topLinePunct w:val="0"/>
                    <w:autoSpaceDE w:val="0"/>
                    <w:autoSpaceDN w:val="0"/>
                    <w:bidi w:val="0"/>
                    <w:adjustRightInd w:val="0"/>
                    <w:snapToGrid w:val="0"/>
                    <w:spacing w:after="0" w:afterLines="0" w:line="240" w:lineRule="auto"/>
                    <w:ind w:left="0" w:leftChars="0" w:right="0" w:rightChars="0" w:firstLine="0"/>
                    <w:jc w:val="center"/>
                    <w:textAlignment w:val="baseline"/>
                    <w:rPr>
                      <w:rFonts w:hint="default" w:ascii="Times New Roman" w:hAnsi="Times New Roman" w:eastAsia="宋体" w:cs="Times New Roman"/>
                      <w:color w:val="auto"/>
                    </w:rPr>
                  </w:pPr>
                </w:p>
              </w:tc>
              <w:tc>
                <w:tcPr>
                  <w:tcW w:w="850" w:type="dxa"/>
                  <w:vMerge w:val="continue"/>
                  <w:tcBorders>
                    <w:tl2br w:val="nil"/>
                    <w:tr2bl w:val="nil"/>
                  </w:tcBorders>
                  <w:noWrap w:val="0"/>
                  <w:vAlign w:val="center"/>
                </w:tcPr>
                <w:p w14:paraId="2266D54E">
                  <w:pPr>
                    <w:pStyle w:val="6"/>
                    <w:keepNext w:val="0"/>
                    <w:keepLines w:val="0"/>
                    <w:pageBreakBefore w:val="0"/>
                    <w:widowControl/>
                    <w:kinsoku w:val="0"/>
                    <w:wordWrap/>
                    <w:overflowPunct/>
                    <w:topLinePunct w:val="0"/>
                    <w:autoSpaceDE w:val="0"/>
                    <w:autoSpaceDN w:val="0"/>
                    <w:bidi w:val="0"/>
                    <w:adjustRightInd w:val="0"/>
                    <w:snapToGrid w:val="0"/>
                    <w:spacing w:after="0" w:afterLines="0" w:line="240" w:lineRule="auto"/>
                    <w:ind w:left="0" w:leftChars="0" w:right="0" w:rightChars="0" w:firstLine="0"/>
                    <w:jc w:val="center"/>
                    <w:textAlignment w:val="baseline"/>
                    <w:rPr>
                      <w:rFonts w:hint="default" w:ascii="Times New Roman" w:hAnsi="Times New Roman" w:eastAsia="宋体" w:cs="Times New Roman"/>
                      <w:color w:val="auto"/>
                    </w:rPr>
                  </w:pPr>
                </w:p>
              </w:tc>
              <w:tc>
                <w:tcPr>
                  <w:tcW w:w="3295" w:type="dxa"/>
                  <w:vMerge w:val="continue"/>
                  <w:tcBorders>
                    <w:tl2br w:val="nil"/>
                    <w:tr2bl w:val="nil"/>
                  </w:tcBorders>
                  <w:noWrap w:val="0"/>
                  <w:vAlign w:val="center"/>
                </w:tcPr>
                <w:p w14:paraId="3A07889B">
                  <w:pPr>
                    <w:pStyle w:val="6"/>
                    <w:keepNext w:val="0"/>
                    <w:keepLines w:val="0"/>
                    <w:pageBreakBefore w:val="0"/>
                    <w:widowControl/>
                    <w:kinsoku w:val="0"/>
                    <w:wordWrap/>
                    <w:overflowPunct/>
                    <w:topLinePunct w:val="0"/>
                    <w:autoSpaceDE w:val="0"/>
                    <w:autoSpaceDN w:val="0"/>
                    <w:bidi w:val="0"/>
                    <w:adjustRightInd w:val="0"/>
                    <w:snapToGrid w:val="0"/>
                    <w:spacing w:after="0" w:afterLines="0" w:line="240" w:lineRule="auto"/>
                    <w:ind w:left="0" w:leftChars="0" w:right="0" w:rightChars="0" w:firstLine="0"/>
                    <w:jc w:val="center"/>
                    <w:textAlignment w:val="baseline"/>
                    <w:rPr>
                      <w:rFonts w:hint="default" w:ascii="Times New Roman" w:hAnsi="Times New Roman" w:eastAsia="宋体" w:cs="Times New Roman"/>
                      <w:color w:val="auto"/>
                    </w:rPr>
                  </w:pPr>
                </w:p>
              </w:tc>
              <w:tc>
                <w:tcPr>
                  <w:tcW w:w="826" w:type="dxa"/>
                  <w:tcBorders>
                    <w:tl2br w:val="nil"/>
                    <w:tr2bl w:val="nil"/>
                  </w:tcBorders>
                  <w:noWrap w:val="0"/>
                  <w:vAlign w:val="center"/>
                </w:tcPr>
                <w:p w14:paraId="33B36E66">
                  <w:pPr>
                    <w:pStyle w:val="6"/>
                    <w:keepNext w:val="0"/>
                    <w:keepLines w:val="0"/>
                    <w:pageBreakBefore w:val="0"/>
                    <w:widowControl/>
                    <w:kinsoku w:val="0"/>
                    <w:wordWrap/>
                    <w:overflowPunct/>
                    <w:topLinePunct w:val="0"/>
                    <w:autoSpaceDE w:val="0"/>
                    <w:autoSpaceDN w:val="0"/>
                    <w:bidi w:val="0"/>
                    <w:adjustRightInd w:val="0"/>
                    <w:snapToGrid w:val="0"/>
                    <w:spacing w:after="0" w:afterLines="0" w:line="240" w:lineRule="auto"/>
                    <w:ind w:left="0" w:leftChars="0" w:right="0" w:rightChars="0" w:firstLine="0"/>
                    <w:jc w:val="center"/>
                    <w:textAlignment w:val="baseline"/>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测量值</w:t>
                  </w:r>
                </w:p>
              </w:tc>
              <w:tc>
                <w:tcPr>
                  <w:tcW w:w="793" w:type="dxa"/>
                  <w:tcBorders>
                    <w:tl2br w:val="nil"/>
                    <w:tr2bl w:val="nil"/>
                  </w:tcBorders>
                  <w:noWrap w:val="0"/>
                  <w:vAlign w:val="center"/>
                </w:tcPr>
                <w:p w14:paraId="5E214B56">
                  <w:pPr>
                    <w:pStyle w:val="6"/>
                    <w:keepNext w:val="0"/>
                    <w:keepLines w:val="0"/>
                    <w:pageBreakBefore w:val="0"/>
                    <w:widowControl/>
                    <w:kinsoku w:val="0"/>
                    <w:wordWrap/>
                    <w:overflowPunct/>
                    <w:topLinePunct w:val="0"/>
                    <w:autoSpaceDE w:val="0"/>
                    <w:autoSpaceDN w:val="0"/>
                    <w:bidi w:val="0"/>
                    <w:adjustRightInd w:val="0"/>
                    <w:snapToGrid w:val="0"/>
                    <w:spacing w:after="0" w:afterLines="0" w:line="240" w:lineRule="auto"/>
                    <w:ind w:left="0" w:leftChars="0" w:right="0" w:rightChars="0" w:firstLine="0"/>
                    <w:jc w:val="center"/>
                    <w:textAlignment w:val="baseline"/>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修约值</w:t>
                  </w:r>
                </w:p>
              </w:tc>
              <w:tc>
                <w:tcPr>
                  <w:tcW w:w="826" w:type="dxa"/>
                  <w:tcBorders>
                    <w:tl2br w:val="nil"/>
                    <w:tr2bl w:val="nil"/>
                  </w:tcBorders>
                  <w:noWrap w:val="0"/>
                  <w:vAlign w:val="center"/>
                </w:tcPr>
                <w:p w14:paraId="397AC0DF">
                  <w:pPr>
                    <w:pStyle w:val="6"/>
                    <w:keepNext w:val="0"/>
                    <w:keepLines w:val="0"/>
                    <w:pageBreakBefore w:val="0"/>
                    <w:widowControl/>
                    <w:kinsoku w:val="0"/>
                    <w:wordWrap/>
                    <w:overflowPunct/>
                    <w:topLinePunct w:val="0"/>
                    <w:autoSpaceDE w:val="0"/>
                    <w:autoSpaceDN w:val="0"/>
                    <w:bidi w:val="0"/>
                    <w:adjustRightInd w:val="0"/>
                    <w:snapToGrid w:val="0"/>
                    <w:spacing w:after="0" w:afterLines="0" w:line="240" w:lineRule="auto"/>
                    <w:ind w:left="0" w:leftChars="0" w:right="0" w:rightChars="0" w:firstLine="0" w:firstLineChars="0"/>
                    <w:jc w:val="center"/>
                    <w:textAlignment w:val="baseline"/>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lang w:val="en-US" w:eastAsia="zh-CN"/>
                    </w:rPr>
                    <w:t>测量值</w:t>
                  </w:r>
                </w:p>
              </w:tc>
              <w:tc>
                <w:tcPr>
                  <w:tcW w:w="793" w:type="dxa"/>
                  <w:tcBorders>
                    <w:tl2br w:val="nil"/>
                    <w:tr2bl w:val="nil"/>
                  </w:tcBorders>
                  <w:noWrap w:val="0"/>
                  <w:vAlign w:val="center"/>
                </w:tcPr>
                <w:p w14:paraId="4A746597">
                  <w:pPr>
                    <w:pStyle w:val="6"/>
                    <w:keepNext w:val="0"/>
                    <w:keepLines w:val="0"/>
                    <w:pageBreakBefore w:val="0"/>
                    <w:widowControl/>
                    <w:kinsoku w:val="0"/>
                    <w:wordWrap/>
                    <w:overflowPunct/>
                    <w:topLinePunct w:val="0"/>
                    <w:autoSpaceDE w:val="0"/>
                    <w:autoSpaceDN w:val="0"/>
                    <w:bidi w:val="0"/>
                    <w:adjustRightInd w:val="0"/>
                    <w:snapToGrid w:val="0"/>
                    <w:spacing w:after="0" w:afterLines="0" w:line="240" w:lineRule="auto"/>
                    <w:ind w:left="0" w:leftChars="0" w:right="0" w:rightChars="0" w:firstLine="0" w:firstLineChars="0"/>
                    <w:jc w:val="center"/>
                    <w:textAlignment w:val="baseline"/>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lang w:val="en-US" w:eastAsia="zh-CN"/>
                    </w:rPr>
                    <w:t>修约值</w:t>
                  </w:r>
                </w:p>
              </w:tc>
            </w:tr>
            <w:tr w14:paraId="03188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906" w:type="dxa"/>
                  <w:vMerge w:val="restart"/>
                  <w:tcBorders>
                    <w:tl2br w:val="nil"/>
                    <w:tr2bl w:val="nil"/>
                  </w:tcBorders>
                  <w:noWrap w:val="0"/>
                  <w:vAlign w:val="center"/>
                </w:tcPr>
                <w:p w14:paraId="22941082">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2024年11月5日</w:t>
                  </w:r>
                </w:p>
              </w:tc>
              <w:tc>
                <w:tcPr>
                  <w:tcW w:w="850" w:type="dxa"/>
                  <w:tcBorders>
                    <w:tl2br w:val="nil"/>
                    <w:tr2bl w:val="nil"/>
                  </w:tcBorders>
                  <w:noWrap w:val="0"/>
                  <w:vAlign w:val="center"/>
                </w:tcPr>
                <w:p w14:paraId="654D692D">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w:t>
                  </w:r>
                </w:p>
              </w:tc>
              <w:tc>
                <w:tcPr>
                  <w:tcW w:w="3295" w:type="dxa"/>
                  <w:tcBorders>
                    <w:tl2br w:val="nil"/>
                    <w:tr2bl w:val="nil"/>
                  </w:tcBorders>
                  <w:noWrap w:val="0"/>
                  <w:vAlign w:val="center"/>
                </w:tcPr>
                <w:p w14:paraId="33C78F2C">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val="en-US" w:eastAsia="zh-CN"/>
                    </w:rPr>
                    <w:t>颍上绿动风电场北侧围墙外1m处</w:t>
                  </w:r>
                </w:p>
              </w:tc>
              <w:tc>
                <w:tcPr>
                  <w:tcW w:w="826" w:type="dxa"/>
                  <w:tcBorders>
                    <w:tl2br w:val="nil"/>
                    <w:tr2bl w:val="nil"/>
                  </w:tcBorders>
                  <w:noWrap w:val="0"/>
                  <w:vAlign w:val="center"/>
                </w:tcPr>
                <w:p w14:paraId="0BA1D92F">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43.9</w:t>
                  </w:r>
                </w:p>
              </w:tc>
              <w:tc>
                <w:tcPr>
                  <w:tcW w:w="793" w:type="dxa"/>
                  <w:tcBorders>
                    <w:tl2br w:val="nil"/>
                    <w:tr2bl w:val="nil"/>
                  </w:tcBorders>
                  <w:noWrap w:val="0"/>
                  <w:vAlign w:val="center"/>
                </w:tcPr>
                <w:p w14:paraId="7FF562F9">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44</w:t>
                  </w:r>
                </w:p>
              </w:tc>
              <w:tc>
                <w:tcPr>
                  <w:tcW w:w="826" w:type="dxa"/>
                  <w:tcBorders>
                    <w:tl2br w:val="nil"/>
                    <w:tr2bl w:val="nil"/>
                  </w:tcBorders>
                  <w:noWrap w:val="0"/>
                  <w:vAlign w:val="center"/>
                </w:tcPr>
                <w:p w14:paraId="4D722E0E">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42.2</w:t>
                  </w:r>
                </w:p>
              </w:tc>
              <w:tc>
                <w:tcPr>
                  <w:tcW w:w="793" w:type="dxa"/>
                  <w:tcBorders>
                    <w:tl2br w:val="nil"/>
                    <w:tr2bl w:val="nil"/>
                  </w:tcBorders>
                  <w:noWrap w:val="0"/>
                  <w:vAlign w:val="center"/>
                </w:tcPr>
                <w:p w14:paraId="441EBF3D">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42</w:t>
                  </w:r>
                </w:p>
              </w:tc>
            </w:tr>
            <w:tr w14:paraId="32549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906" w:type="dxa"/>
                  <w:vMerge w:val="continue"/>
                  <w:tcBorders>
                    <w:tl2br w:val="nil"/>
                    <w:tr2bl w:val="nil"/>
                  </w:tcBorders>
                  <w:noWrap w:val="0"/>
                  <w:vAlign w:val="center"/>
                </w:tcPr>
                <w:p w14:paraId="2ED450D6">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szCs w:val="21"/>
                      <w:lang w:eastAsia="zh-CN"/>
                    </w:rPr>
                  </w:pPr>
                </w:p>
              </w:tc>
              <w:tc>
                <w:tcPr>
                  <w:tcW w:w="850" w:type="dxa"/>
                  <w:tcBorders>
                    <w:tl2br w:val="nil"/>
                    <w:tr2bl w:val="nil"/>
                  </w:tcBorders>
                  <w:noWrap w:val="0"/>
                  <w:vAlign w:val="center"/>
                </w:tcPr>
                <w:p w14:paraId="170B991F">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w:t>
                  </w:r>
                </w:p>
              </w:tc>
              <w:tc>
                <w:tcPr>
                  <w:tcW w:w="3295" w:type="dxa"/>
                  <w:tcBorders>
                    <w:tl2br w:val="nil"/>
                    <w:tr2bl w:val="nil"/>
                  </w:tcBorders>
                  <w:noWrap w:val="0"/>
                  <w:vAlign w:val="center"/>
                </w:tcPr>
                <w:p w14:paraId="30B6A505">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val="en-US" w:eastAsia="zh-CN"/>
                    </w:rPr>
                    <w:t>颍上绿动风电场东侧围墙外1m处</w:t>
                  </w:r>
                </w:p>
              </w:tc>
              <w:tc>
                <w:tcPr>
                  <w:tcW w:w="826" w:type="dxa"/>
                  <w:tcBorders>
                    <w:tl2br w:val="nil"/>
                    <w:tr2bl w:val="nil"/>
                  </w:tcBorders>
                  <w:noWrap w:val="0"/>
                  <w:vAlign w:val="center"/>
                </w:tcPr>
                <w:p w14:paraId="08BA214E">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43.3</w:t>
                  </w:r>
                </w:p>
              </w:tc>
              <w:tc>
                <w:tcPr>
                  <w:tcW w:w="793" w:type="dxa"/>
                  <w:tcBorders>
                    <w:tl2br w:val="nil"/>
                    <w:tr2bl w:val="nil"/>
                  </w:tcBorders>
                  <w:noWrap w:val="0"/>
                  <w:vAlign w:val="center"/>
                </w:tcPr>
                <w:p w14:paraId="40F70140">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43</w:t>
                  </w:r>
                </w:p>
              </w:tc>
              <w:tc>
                <w:tcPr>
                  <w:tcW w:w="826" w:type="dxa"/>
                  <w:tcBorders>
                    <w:tl2br w:val="nil"/>
                    <w:tr2bl w:val="nil"/>
                  </w:tcBorders>
                  <w:noWrap w:val="0"/>
                  <w:vAlign w:val="center"/>
                </w:tcPr>
                <w:p w14:paraId="4361FB67">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42.2</w:t>
                  </w:r>
                </w:p>
              </w:tc>
              <w:tc>
                <w:tcPr>
                  <w:tcW w:w="793" w:type="dxa"/>
                  <w:tcBorders>
                    <w:tl2br w:val="nil"/>
                    <w:tr2bl w:val="nil"/>
                  </w:tcBorders>
                  <w:noWrap w:val="0"/>
                  <w:vAlign w:val="center"/>
                </w:tcPr>
                <w:p w14:paraId="024CB67B">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42</w:t>
                  </w:r>
                </w:p>
              </w:tc>
            </w:tr>
            <w:tr w14:paraId="20011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906" w:type="dxa"/>
                  <w:vMerge w:val="continue"/>
                  <w:tcBorders>
                    <w:tl2br w:val="nil"/>
                    <w:tr2bl w:val="nil"/>
                  </w:tcBorders>
                  <w:noWrap w:val="0"/>
                  <w:vAlign w:val="center"/>
                </w:tcPr>
                <w:p w14:paraId="6DADA79C">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szCs w:val="21"/>
                      <w:lang w:val="en-US" w:eastAsia="zh-CN"/>
                    </w:rPr>
                  </w:pPr>
                </w:p>
              </w:tc>
              <w:tc>
                <w:tcPr>
                  <w:tcW w:w="850" w:type="dxa"/>
                  <w:tcBorders>
                    <w:tl2br w:val="nil"/>
                    <w:tr2bl w:val="nil"/>
                  </w:tcBorders>
                  <w:noWrap w:val="0"/>
                  <w:vAlign w:val="center"/>
                </w:tcPr>
                <w:p w14:paraId="39E446D3">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3</w:t>
                  </w:r>
                </w:p>
              </w:tc>
              <w:tc>
                <w:tcPr>
                  <w:tcW w:w="3295" w:type="dxa"/>
                  <w:tcBorders>
                    <w:tl2br w:val="nil"/>
                    <w:tr2bl w:val="nil"/>
                  </w:tcBorders>
                  <w:noWrap w:val="0"/>
                  <w:vAlign w:val="center"/>
                </w:tcPr>
                <w:p w14:paraId="5A5DCC51">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val="en-US" w:eastAsia="zh-CN"/>
                    </w:rPr>
                    <w:t>颍上绿动风电场南侧围墙外1m处</w:t>
                  </w:r>
                </w:p>
              </w:tc>
              <w:tc>
                <w:tcPr>
                  <w:tcW w:w="826" w:type="dxa"/>
                  <w:tcBorders>
                    <w:tl2br w:val="nil"/>
                    <w:tr2bl w:val="nil"/>
                  </w:tcBorders>
                  <w:noWrap w:val="0"/>
                  <w:vAlign w:val="center"/>
                </w:tcPr>
                <w:p w14:paraId="410B9D10">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42.0</w:t>
                  </w:r>
                </w:p>
              </w:tc>
              <w:tc>
                <w:tcPr>
                  <w:tcW w:w="793" w:type="dxa"/>
                  <w:tcBorders>
                    <w:tl2br w:val="nil"/>
                    <w:tr2bl w:val="nil"/>
                  </w:tcBorders>
                  <w:noWrap w:val="0"/>
                  <w:vAlign w:val="center"/>
                </w:tcPr>
                <w:p w14:paraId="64096841">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42</w:t>
                  </w:r>
                </w:p>
              </w:tc>
              <w:tc>
                <w:tcPr>
                  <w:tcW w:w="826" w:type="dxa"/>
                  <w:tcBorders>
                    <w:tl2br w:val="nil"/>
                    <w:tr2bl w:val="nil"/>
                  </w:tcBorders>
                  <w:noWrap w:val="0"/>
                  <w:vAlign w:val="center"/>
                </w:tcPr>
                <w:p w14:paraId="69E0E64A">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40.7</w:t>
                  </w:r>
                </w:p>
              </w:tc>
              <w:tc>
                <w:tcPr>
                  <w:tcW w:w="793" w:type="dxa"/>
                  <w:tcBorders>
                    <w:tl2br w:val="nil"/>
                    <w:tr2bl w:val="nil"/>
                  </w:tcBorders>
                  <w:noWrap w:val="0"/>
                  <w:vAlign w:val="center"/>
                </w:tcPr>
                <w:p w14:paraId="028BD6C5">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41</w:t>
                  </w:r>
                </w:p>
              </w:tc>
            </w:tr>
            <w:tr w14:paraId="731C4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906" w:type="dxa"/>
                  <w:vMerge w:val="continue"/>
                  <w:tcBorders>
                    <w:tl2br w:val="nil"/>
                    <w:tr2bl w:val="nil"/>
                  </w:tcBorders>
                  <w:noWrap w:val="0"/>
                  <w:vAlign w:val="center"/>
                </w:tcPr>
                <w:p w14:paraId="633113AE">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szCs w:val="21"/>
                      <w:lang w:val="en-US" w:eastAsia="zh-CN"/>
                    </w:rPr>
                  </w:pPr>
                </w:p>
              </w:tc>
              <w:tc>
                <w:tcPr>
                  <w:tcW w:w="850" w:type="dxa"/>
                  <w:tcBorders>
                    <w:tl2br w:val="nil"/>
                    <w:tr2bl w:val="nil"/>
                  </w:tcBorders>
                  <w:noWrap w:val="0"/>
                  <w:vAlign w:val="center"/>
                </w:tcPr>
                <w:p w14:paraId="07FF1AFE">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w:t>
                  </w:r>
                </w:p>
              </w:tc>
              <w:tc>
                <w:tcPr>
                  <w:tcW w:w="3295" w:type="dxa"/>
                  <w:tcBorders>
                    <w:tl2br w:val="nil"/>
                    <w:tr2bl w:val="nil"/>
                  </w:tcBorders>
                  <w:noWrap w:val="0"/>
                  <w:vAlign w:val="center"/>
                </w:tcPr>
                <w:p w14:paraId="0F9E4C15">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val="en-US" w:eastAsia="zh-CN"/>
                    </w:rPr>
                    <w:t>颍上绿动风电场西侧围墙外1m处</w:t>
                  </w:r>
                </w:p>
              </w:tc>
              <w:tc>
                <w:tcPr>
                  <w:tcW w:w="826" w:type="dxa"/>
                  <w:tcBorders>
                    <w:tl2br w:val="nil"/>
                    <w:tr2bl w:val="nil"/>
                  </w:tcBorders>
                  <w:noWrap w:val="0"/>
                  <w:vAlign w:val="center"/>
                </w:tcPr>
                <w:p w14:paraId="0A00CE8F">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43.3</w:t>
                  </w:r>
                </w:p>
              </w:tc>
              <w:tc>
                <w:tcPr>
                  <w:tcW w:w="793" w:type="dxa"/>
                  <w:tcBorders>
                    <w:tl2br w:val="nil"/>
                    <w:tr2bl w:val="nil"/>
                  </w:tcBorders>
                  <w:noWrap w:val="0"/>
                  <w:vAlign w:val="center"/>
                </w:tcPr>
                <w:p w14:paraId="6C8B595C">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43</w:t>
                  </w:r>
                </w:p>
              </w:tc>
              <w:tc>
                <w:tcPr>
                  <w:tcW w:w="826" w:type="dxa"/>
                  <w:tcBorders>
                    <w:tl2br w:val="nil"/>
                    <w:tr2bl w:val="nil"/>
                  </w:tcBorders>
                  <w:noWrap w:val="0"/>
                  <w:vAlign w:val="center"/>
                </w:tcPr>
                <w:p w14:paraId="7C2A2F6B">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40.5</w:t>
                  </w:r>
                </w:p>
              </w:tc>
              <w:tc>
                <w:tcPr>
                  <w:tcW w:w="793" w:type="dxa"/>
                  <w:tcBorders>
                    <w:tl2br w:val="nil"/>
                    <w:tr2bl w:val="nil"/>
                  </w:tcBorders>
                  <w:noWrap w:val="0"/>
                  <w:vAlign w:val="center"/>
                </w:tcPr>
                <w:p w14:paraId="69530890">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40</w:t>
                  </w:r>
                </w:p>
              </w:tc>
            </w:tr>
            <w:tr w14:paraId="7D392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906" w:type="dxa"/>
                  <w:vMerge w:val="restart"/>
                  <w:tcBorders>
                    <w:tl2br w:val="nil"/>
                    <w:tr2bl w:val="nil"/>
                  </w:tcBorders>
                  <w:noWrap w:val="0"/>
                  <w:vAlign w:val="center"/>
                </w:tcPr>
                <w:p w14:paraId="7CB14349">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2024年11月6日</w:t>
                  </w:r>
                </w:p>
              </w:tc>
              <w:tc>
                <w:tcPr>
                  <w:tcW w:w="850" w:type="dxa"/>
                  <w:tcBorders>
                    <w:tl2br w:val="nil"/>
                    <w:tr2bl w:val="nil"/>
                  </w:tcBorders>
                  <w:noWrap w:val="0"/>
                  <w:vAlign w:val="center"/>
                </w:tcPr>
                <w:p w14:paraId="132FC134">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w:t>
                  </w:r>
                </w:p>
              </w:tc>
              <w:tc>
                <w:tcPr>
                  <w:tcW w:w="3295" w:type="dxa"/>
                  <w:tcBorders>
                    <w:tl2br w:val="nil"/>
                    <w:tr2bl w:val="nil"/>
                  </w:tcBorders>
                  <w:noWrap w:val="0"/>
                  <w:vAlign w:val="center"/>
                </w:tcPr>
                <w:p w14:paraId="40F792A3">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val="en-US" w:eastAsia="zh-CN"/>
                    </w:rPr>
                    <w:t>颍上绿动风电场北侧围墙外1m处</w:t>
                  </w:r>
                </w:p>
              </w:tc>
              <w:tc>
                <w:tcPr>
                  <w:tcW w:w="826" w:type="dxa"/>
                  <w:tcBorders>
                    <w:tl2br w:val="nil"/>
                    <w:tr2bl w:val="nil"/>
                  </w:tcBorders>
                  <w:noWrap w:val="0"/>
                  <w:vAlign w:val="center"/>
                </w:tcPr>
                <w:p w14:paraId="5B5D520B">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45.0</w:t>
                  </w:r>
                </w:p>
              </w:tc>
              <w:tc>
                <w:tcPr>
                  <w:tcW w:w="793" w:type="dxa"/>
                  <w:tcBorders>
                    <w:tl2br w:val="nil"/>
                    <w:tr2bl w:val="nil"/>
                  </w:tcBorders>
                  <w:noWrap w:val="0"/>
                  <w:vAlign w:val="center"/>
                </w:tcPr>
                <w:p w14:paraId="0B5DCB43">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45</w:t>
                  </w:r>
                </w:p>
              </w:tc>
              <w:tc>
                <w:tcPr>
                  <w:tcW w:w="826" w:type="dxa"/>
                  <w:tcBorders>
                    <w:tl2br w:val="nil"/>
                    <w:tr2bl w:val="nil"/>
                  </w:tcBorders>
                  <w:noWrap w:val="0"/>
                  <w:vAlign w:val="center"/>
                </w:tcPr>
                <w:p w14:paraId="63D1A949">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43.4</w:t>
                  </w:r>
                </w:p>
              </w:tc>
              <w:tc>
                <w:tcPr>
                  <w:tcW w:w="793" w:type="dxa"/>
                  <w:tcBorders>
                    <w:tl2br w:val="nil"/>
                    <w:tr2bl w:val="nil"/>
                  </w:tcBorders>
                  <w:noWrap w:val="0"/>
                  <w:vAlign w:val="center"/>
                </w:tcPr>
                <w:p w14:paraId="17F9EC42">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43</w:t>
                  </w:r>
                </w:p>
              </w:tc>
            </w:tr>
            <w:tr w14:paraId="7A498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906" w:type="dxa"/>
                  <w:vMerge w:val="continue"/>
                  <w:tcBorders>
                    <w:tl2br w:val="nil"/>
                    <w:tr2bl w:val="nil"/>
                  </w:tcBorders>
                  <w:noWrap w:val="0"/>
                  <w:vAlign w:val="center"/>
                </w:tcPr>
                <w:p w14:paraId="11C75E92">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szCs w:val="21"/>
                      <w:lang w:val="en-US" w:eastAsia="zh-CN"/>
                    </w:rPr>
                  </w:pPr>
                </w:p>
              </w:tc>
              <w:tc>
                <w:tcPr>
                  <w:tcW w:w="850" w:type="dxa"/>
                  <w:tcBorders>
                    <w:tl2br w:val="nil"/>
                    <w:tr2bl w:val="nil"/>
                  </w:tcBorders>
                  <w:noWrap w:val="0"/>
                  <w:vAlign w:val="center"/>
                </w:tcPr>
                <w:p w14:paraId="2A6B591B">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2</w:t>
                  </w:r>
                </w:p>
              </w:tc>
              <w:tc>
                <w:tcPr>
                  <w:tcW w:w="3295" w:type="dxa"/>
                  <w:tcBorders>
                    <w:tl2br w:val="nil"/>
                    <w:tr2bl w:val="nil"/>
                  </w:tcBorders>
                  <w:noWrap w:val="0"/>
                  <w:vAlign w:val="center"/>
                </w:tcPr>
                <w:p w14:paraId="1C2866F7">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val="en-US" w:eastAsia="zh-CN"/>
                    </w:rPr>
                    <w:t>颍上绿动风电场东侧围墙外1m处</w:t>
                  </w:r>
                </w:p>
              </w:tc>
              <w:tc>
                <w:tcPr>
                  <w:tcW w:w="826" w:type="dxa"/>
                  <w:tcBorders>
                    <w:tl2br w:val="nil"/>
                    <w:tr2bl w:val="nil"/>
                  </w:tcBorders>
                  <w:noWrap w:val="0"/>
                  <w:vAlign w:val="center"/>
                </w:tcPr>
                <w:p w14:paraId="6F5D6CAF">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43.5</w:t>
                  </w:r>
                </w:p>
              </w:tc>
              <w:tc>
                <w:tcPr>
                  <w:tcW w:w="793" w:type="dxa"/>
                  <w:tcBorders>
                    <w:tl2br w:val="nil"/>
                    <w:tr2bl w:val="nil"/>
                  </w:tcBorders>
                  <w:noWrap w:val="0"/>
                  <w:vAlign w:val="center"/>
                </w:tcPr>
                <w:p w14:paraId="7CE0D64C">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44</w:t>
                  </w:r>
                </w:p>
              </w:tc>
              <w:tc>
                <w:tcPr>
                  <w:tcW w:w="826" w:type="dxa"/>
                  <w:tcBorders>
                    <w:tl2br w:val="nil"/>
                    <w:tr2bl w:val="nil"/>
                  </w:tcBorders>
                  <w:noWrap w:val="0"/>
                  <w:vAlign w:val="center"/>
                </w:tcPr>
                <w:p w14:paraId="102CCC20">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42.9</w:t>
                  </w:r>
                </w:p>
              </w:tc>
              <w:tc>
                <w:tcPr>
                  <w:tcW w:w="793" w:type="dxa"/>
                  <w:tcBorders>
                    <w:tl2br w:val="nil"/>
                    <w:tr2bl w:val="nil"/>
                  </w:tcBorders>
                  <w:noWrap w:val="0"/>
                  <w:vAlign w:val="center"/>
                </w:tcPr>
                <w:p w14:paraId="662584E8">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43</w:t>
                  </w:r>
                </w:p>
              </w:tc>
            </w:tr>
            <w:tr w14:paraId="4DF6D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906" w:type="dxa"/>
                  <w:vMerge w:val="continue"/>
                  <w:tcBorders>
                    <w:tl2br w:val="nil"/>
                    <w:tr2bl w:val="nil"/>
                  </w:tcBorders>
                  <w:noWrap w:val="0"/>
                  <w:vAlign w:val="center"/>
                </w:tcPr>
                <w:p w14:paraId="6AA30CC3">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szCs w:val="21"/>
                      <w:lang w:val="en-US" w:eastAsia="zh-CN"/>
                    </w:rPr>
                  </w:pPr>
                </w:p>
              </w:tc>
              <w:tc>
                <w:tcPr>
                  <w:tcW w:w="850" w:type="dxa"/>
                  <w:tcBorders>
                    <w:tl2br w:val="nil"/>
                    <w:tr2bl w:val="nil"/>
                  </w:tcBorders>
                  <w:noWrap w:val="0"/>
                  <w:vAlign w:val="center"/>
                </w:tcPr>
                <w:p w14:paraId="02CD79B2">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3</w:t>
                  </w:r>
                </w:p>
              </w:tc>
              <w:tc>
                <w:tcPr>
                  <w:tcW w:w="3295" w:type="dxa"/>
                  <w:tcBorders>
                    <w:tl2br w:val="nil"/>
                    <w:tr2bl w:val="nil"/>
                  </w:tcBorders>
                  <w:noWrap w:val="0"/>
                  <w:vAlign w:val="center"/>
                </w:tcPr>
                <w:p w14:paraId="63752D39">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val="en-US" w:eastAsia="zh-CN"/>
                    </w:rPr>
                    <w:t>颍上绿动风电场南侧围墙外1m处</w:t>
                  </w:r>
                </w:p>
              </w:tc>
              <w:tc>
                <w:tcPr>
                  <w:tcW w:w="826" w:type="dxa"/>
                  <w:tcBorders>
                    <w:tl2br w:val="nil"/>
                    <w:tr2bl w:val="nil"/>
                  </w:tcBorders>
                  <w:noWrap w:val="0"/>
                  <w:vAlign w:val="center"/>
                </w:tcPr>
                <w:p w14:paraId="415E3FA3">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42.8</w:t>
                  </w:r>
                </w:p>
              </w:tc>
              <w:tc>
                <w:tcPr>
                  <w:tcW w:w="793" w:type="dxa"/>
                  <w:tcBorders>
                    <w:tl2br w:val="nil"/>
                    <w:tr2bl w:val="nil"/>
                  </w:tcBorders>
                  <w:noWrap w:val="0"/>
                  <w:vAlign w:val="center"/>
                </w:tcPr>
                <w:p w14:paraId="75D634DD">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43</w:t>
                  </w:r>
                </w:p>
              </w:tc>
              <w:tc>
                <w:tcPr>
                  <w:tcW w:w="826" w:type="dxa"/>
                  <w:tcBorders>
                    <w:tl2br w:val="nil"/>
                    <w:tr2bl w:val="nil"/>
                  </w:tcBorders>
                  <w:noWrap w:val="0"/>
                  <w:vAlign w:val="center"/>
                </w:tcPr>
                <w:p w14:paraId="54228F20">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42.0</w:t>
                  </w:r>
                </w:p>
              </w:tc>
              <w:tc>
                <w:tcPr>
                  <w:tcW w:w="793" w:type="dxa"/>
                  <w:tcBorders>
                    <w:tl2br w:val="nil"/>
                    <w:tr2bl w:val="nil"/>
                  </w:tcBorders>
                  <w:noWrap w:val="0"/>
                  <w:vAlign w:val="center"/>
                </w:tcPr>
                <w:p w14:paraId="1C132FB6">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42</w:t>
                  </w:r>
                </w:p>
              </w:tc>
            </w:tr>
            <w:tr w14:paraId="6722D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906" w:type="dxa"/>
                  <w:vMerge w:val="continue"/>
                  <w:tcBorders>
                    <w:tl2br w:val="nil"/>
                    <w:tr2bl w:val="nil"/>
                  </w:tcBorders>
                  <w:noWrap w:val="0"/>
                  <w:vAlign w:val="center"/>
                </w:tcPr>
                <w:p w14:paraId="73C1F5CB">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szCs w:val="21"/>
                      <w:lang w:val="en-US" w:eastAsia="zh-CN"/>
                    </w:rPr>
                  </w:pPr>
                </w:p>
              </w:tc>
              <w:tc>
                <w:tcPr>
                  <w:tcW w:w="850" w:type="dxa"/>
                  <w:tcBorders>
                    <w:tl2br w:val="nil"/>
                    <w:tr2bl w:val="nil"/>
                  </w:tcBorders>
                  <w:noWrap w:val="0"/>
                  <w:vAlign w:val="center"/>
                </w:tcPr>
                <w:p w14:paraId="16228580">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4</w:t>
                  </w:r>
                </w:p>
              </w:tc>
              <w:tc>
                <w:tcPr>
                  <w:tcW w:w="3295" w:type="dxa"/>
                  <w:tcBorders>
                    <w:tl2br w:val="nil"/>
                    <w:tr2bl w:val="nil"/>
                  </w:tcBorders>
                  <w:noWrap w:val="0"/>
                  <w:vAlign w:val="center"/>
                </w:tcPr>
                <w:p w14:paraId="5810A215">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val="en-US" w:eastAsia="zh-CN"/>
                    </w:rPr>
                    <w:t>颍上绿动风电场西侧围墙外1m处</w:t>
                  </w:r>
                </w:p>
              </w:tc>
              <w:tc>
                <w:tcPr>
                  <w:tcW w:w="826" w:type="dxa"/>
                  <w:tcBorders>
                    <w:tl2br w:val="nil"/>
                    <w:tr2bl w:val="nil"/>
                  </w:tcBorders>
                  <w:noWrap w:val="0"/>
                  <w:vAlign w:val="center"/>
                </w:tcPr>
                <w:p w14:paraId="1AD9405A">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42.5</w:t>
                  </w:r>
                </w:p>
              </w:tc>
              <w:tc>
                <w:tcPr>
                  <w:tcW w:w="793" w:type="dxa"/>
                  <w:tcBorders>
                    <w:tl2br w:val="nil"/>
                    <w:tr2bl w:val="nil"/>
                  </w:tcBorders>
                  <w:noWrap w:val="0"/>
                  <w:vAlign w:val="center"/>
                </w:tcPr>
                <w:p w14:paraId="655BC575">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42</w:t>
                  </w:r>
                </w:p>
              </w:tc>
              <w:tc>
                <w:tcPr>
                  <w:tcW w:w="826" w:type="dxa"/>
                  <w:tcBorders>
                    <w:tl2br w:val="nil"/>
                    <w:tr2bl w:val="nil"/>
                  </w:tcBorders>
                  <w:noWrap w:val="0"/>
                  <w:vAlign w:val="center"/>
                </w:tcPr>
                <w:p w14:paraId="0F8089BC">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40.7</w:t>
                  </w:r>
                </w:p>
              </w:tc>
              <w:tc>
                <w:tcPr>
                  <w:tcW w:w="793" w:type="dxa"/>
                  <w:tcBorders>
                    <w:tl2br w:val="nil"/>
                    <w:tr2bl w:val="nil"/>
                  </w:tcBorders>
                  <w:noWrap w:val="0"/>
                  <w:vAlign w:val="center"/>
                </w:tcPr>
                <w:p w14:paraId="5A05B4F0">
                  <w:pPr>
                    <w:keepNext w:val="0"/>
                    <w:keepLines w:val="0"/>
                    <w:pageBreakBefore w:val="0"/>
                    <w:widowControl/>
                    <w:kinsoku w:val="0"/>
                    <w:wordWrap/>
                    <w:overflowPunct/>
                    <w:topLinePunct w:val="0"/>
                    <w:autoSpaceDE w:val="0"/>
                    <w:autoSpaceDN w:val="0"/>
                    <w:bidi w:val="0"/>
                    <w:adjustRightInd w:val="0"/>
                    <w:snapToGrid w:val="0"/>
                    <w:ind w:left="0" w:leftChars="0" w:right="0" w:rightChars="0"/>
                    <w:jc w:val="center"/>
                    <w:textAlignment w:val="baseline"/>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41</w:t>
                  </w:r>
                </w:p>
              </w:tc>
            </w:tr>
          </w:tbl>
          <w:p w14:paraId="6FC2A355">
            <w:pPr>
              <w:widowControl/>
              <w:kinsoku/>
              <w:autoSpaceDE/>
              <w:autoSpaceDN/>
              <w:adjustRightInd/>
              <w:snapToGrid/>
              <w:spacing w:line="240" w:lineRule="auto"/>
              <w:jc w:val="center"/>
              <w:textAlignment w:val="auto"/>
              <w:rPr>
                <w:rFonts w:hint="default" w:ascii="Times New Roman" w:hAnsi="Times New Roman" w:eastAsia="宋体" w:cs="Times New Roman"/>
                <w:b/>
                <w:bCs/>
                <w:snapToGrid/>
                <w:color w:val="FF0000"/>
                <w:kern w:val="0"/>
                <w:sz w:val="24"/>
                <w:szCs w:val="24"/>
                <w:lang w:val="en-US" w:eastAsia="zh-CN" w:bidi="ar-SA"/>
              </w:rPr>
            </w:pPr>
          </w:p>
          <w:p w14:paraId="408BDC2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auto"/>
                <w:kern w:val="0"/>
                <w:sz w:val="24"/>
                <w:szCs w:val="24"/>
                <w:lang w:val="en-US" w:eastAsia="zh-CN" w:bidi="ar-SA"/>
              </w:rPr>
            </w:pPr>
            <w:r>
              <w:rPr>
                <w:rFonts w:hint="default" w:ascii="Times New Roman" w:hAnsi="Times New Roman" w:eastAsia="宋体" w:cs="Times New Roman"/>
                <w:snapToGrid/>
                <w:color w:val="auto"/>
                <w:kern w:val="0"/>
                <w:sz w:val="24"/>
                <w:szCs w:val="24"/>
                <w:lang w:val="en-US" w:eastAsia="zh-CN" w:bidi="ar-SA"/>
              </w:rPr>
              <w:t>根据监测结果可知：本工程在正常运行工况下，升压站厂界昼间噪声为42~45dB（A），夜间噪声为40~43dB（A），符合《工业企业厂界环境噪声排放标准》（GB12348-2008）中2类标准：昼间：60dBA，夜间50dBA。</w:t>
            </w:r>
          </w:p>
          <w:p w14:paraId="10A4382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napToGrid/>
                <w:color w:val="FF0000"/>
                <w:kern w:val="0"/>
                <w:sz w:val="24"/>
                <w:szCs w:val="24"/>
                <w:lang w:val="en-US" w:eastAsia="zh-CN" w:bidi="ar-SA"/>
              </w:rPr>
            </w:pPr>
            <w:r>
              <w:rPr>
                <w:rFonts w:hint="default" w:ascii="Times New Roman" w:hAnsi="Times New Roman" w:eastAsia="宋体" w:cs="Times New Roman"/>
              </w:rPr>
              <w:drawing>
                <wp:inline distT="0" distB="0" distL="114300" distR="114300">
                  <wp:extent cx="3881120" cy="3725545"/>
                  <wp:effectExtent l="0" t="0" r="5080" b="8255"/>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pic:cNvPicPr>
                        </pic:nvPicPr>
                        <pic:blipFill>
                          <a:blip r:embed="rId34"/>
                          <a:srcRect t="921" r="1499" b="870"/>
                          <a:stretch>
                            <a:fillRect/>
                          </a:stretch>
                        </pic:blipFill>
                        <pic:spPr>
                          <a:xfrm>
                            <a:off x="0" y="0"/>
                            <a:ext cx="3881120" cy="3725545"/>
                          </a:xfrm>
                          <a:prstGeom prst="rect">
                            <a:avLst/>
                          </a:prstGeom>
                          <a:noFill/>
                          <a:ln>
                            <a:noFill/>
                          </a:ln>
                        </pic:spPr>
                      </pic:pic>
                    </a:graphicData>
                  </a:graphic>
                </wp:inline>
              </w:drawing>
            </w:r>
          </w:p>
          <w:p w14:paraId="5B99767A">
            <w:pPr>
              <w:widowControl/>
              <w:kinsoku/>
              <w:autoSpaceDE/>
              <w:autoSpaceDN/>
              <w:adjustRightInd/>
              <w:snapToGrid/>
              <w:spacing w:line="240" w:lineRule="auto"/>
              <w:jc w:val="center"/>
              <w:textAlignment w:val="auto"/>
              <w:rPr>
                <w:rFonts w:hint="default" w:ascii="Times New Roman" w:hAnsi="Times New Roman" w:eastAsia="宋体" w:cs="Times New Roman"/>
                <w:snapToGrid/>
                <w:color w:val="auto"/>
                <w:kern w:val="0"/>
                <w:sz w:val="24"/>
                <w:szCs w:val="24"/>
                <w:lang w:val="en-US" w:eastAsia="zh-CN" w:bidi="ar-SA"/>
              </w:rPr>
            </w:pPr>
            <w:r>
              <w:rPr>
                <w:rFonts w:hint="default" w:ascii="Times New Roman" w:hAnsi="Times New Roman" w:eastAsia="宋体" w:cs="Times New Roman"/>
                <w:b/>
                <w:bCs/>
                <w:snapToGrid/>
                <w:color w:val="auto"/>
                <w:kern w:val="0"/>
                <w:sz w:val="24"/>
                <w:szCs w:val="24"/>
                <w:lang w:val="en-US" w:eastAsia="zh-CN" w:bidi="ar-SA"/>
              </w:rPr>
              <w:t>图7.1电磁监测布点图</w:t>
            </w:r>
          </w:p>
          <w:p w14:paraId="4BFA73ED">
            <w:pPr>
              <w:widowControl/>
              <w:kinsoku/>
              <w:autoSpaceDE/>
              <w:autoSpaceDN/>
              <w:adjustRightInd/>
              <w:snapToGrid/>
              <w:spacing w:line="240" w:lineRule="auto"/>
              <w:jc w:val="both"/>
              <w:textAlignment w:val="auto"/>
              <w:rPr>
                <w:rFonts w:hint="default" w:ascii="Times New Roman" w:hAnsi="Times New Roman" w:eastAsia="宋体" w:cs="Times New Roman"/>
                <w:snapToGrid/>
                <w:color w:val="FF0000"/>
                <w:kern w:val="0"/>
                <w:sz w:val="24"/>
                <w:szCs w:val="24"/>
                <w:lang w:val="en-US" w:eastAsia="zh-CN" w:bidi="ar-SA"/>
              </w:rPr>
            </w:pPr>
          </w:p>
        </w:tc>
      </w:tr>
    </w:tbl>
    <w:p w14:paraId="73025D3E">
      <w:pPr>
        <w:spacing w:line="137" w:lineRule="exact"/>
        <w:rPr>
          <w:rFonts w:ascii="Arial"/>
          <w:sz w:val="11"/>
        </w:rPr>
      </w:pPr>
    </w:p>
    <w:p w14:paraId="61273896">
      <w:pPr>
        <w:sectPr>
          <w:headerReference r:id="rId14" w:type="default"/>
          <w:footerReference r:id="rId15" w:type="default"/>
          <w:pgSz w:w="11905" w:h="16838"/>
          <w:pgMar w:top="1440" w:right="1803" w:bottom="1440" w:left="1803" w:header="1457" w:footer="992" w:gutter="0"/>
          <w:pgBorders>
            <w:top w:val="none" w:sz="0" w:space="0"/>
            <w:left w:val="none" w:sz="0" w:space="0"/>
            <w:bottom w:val="none" w:sz="0" w:space="0"/>
            <w:right w:val="none" w:sz="0" w:space="0"/>
          </w:pgBorders>
          <w:pgNumType w:fmt="decimal"/>
          <w:cols w:space="0" w:num="1"/>
          <w:rtlGutter w:val="0"/>
          <w:docGrid w:linePitch="0" w:charSpace="0"/>
        </w:sectPr>
      </w:pPr>
    </w:p>
    <w:p w14:paraId="68CB42B8">
      <w:pPr>
        <w:widowControl/>
        <w:kinsoku/>
        <w:autoSpaceDE/>
        <w:autoSpaceDN/>
        <w:adjustRightInd/>
        <w:snapToGrid/>
        <w:spacing w:line="240" w:lineRule="auto"/>
        <w:jc w:val="center"/>
        <w:textAlignment w:val="auto"/>
        <w:rPr>
          <w:rFonts w:hint="default" w:ascii="Times New Roman" w:hAnsi="Times New Roman" w:eastAsia="黑体" w:cs="Times New Roman"/>
          <w:b/>
          <w:bCs/>
          <w:snapToGrid/>
          <w:color w:val="000000"/>
          <w:kern w:val="0"/>
          <w:sz w:val="28"/>
          <w:szCs w:val="28"/>
          <w:lang w:val="en-US" w:eastAsia="zh-CN" w:bidi="ar-SA"/>
        </w:rPr>
      </w:pPr>
      <w:r>
        <w:rPr>
          <w:rFonts w:hint="default" w:ascii="Times New Roman" w:hAnsi="Times New Roman" w:eastAsia="黑体" w:cs="Times New Roman"/>
          <w:b/>
          <w:bCs/>
          <w:snapToGrid/>
          <w:color w:val="000000"/>
          <w:kern w:val="0"/>
          <w:sz w:val="28"/>
          <w:szCs w:val="28"/>
          <w:lang w:val="en-US" w:eastAsia="zh-CN" w:bidi="ar-SA"/>
        </w:rPr>
        <w:t>表8环境影响调查</w:t>
      </w:r>
    </w:p>
    <w:p w14:paraId="749ACE8F">
      <w:pPr>
        <w:spacing w:line="89" w:lineRule="exact"/>
      </w:pPr>
    </w:p>
    <w:tbl>
      <w:tblPr>
        <w:tblStyle w:val="16"/>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8329"/>
      </w:tblGrid>
      <w:tr w14:paraId="18348EB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36" w:hRule="atLeast"/>
        </w:trPr>
        <w:tc>
          <w:tcPr>
            <w:tcW w:w="5000" w:type="pct"/>
            <w:tcBorders>
              <w:tl2br w:val="nil"/>
              <w:tr2bl w:val="nil"/>
            </w:tcBorders>
            <w:vAlign w:val="top"/>
          </w:tcPr>
          <w:p w14:paraId="2BAD4262">
            <w:pPr>
              <w:widowControl/>
              <w:kinsoku/>
              <w:autoSpaceDE/>
              <w:autoSpaceDN/>
              <w:adjustRightInd/>
              <w:snapToGrid/>
              <w:spacing w:line="240" w:lineRule="auto"/>
              <w:jc w:val="left"/>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施工期</w:t>
            </w:r>
          </w:p>
        </w:tc>
      </w:tr>
      <w:tr w14:paraId="6C503E2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79" w:hRule="atLeast"/>
        </w:trPr>
        <w:tc>
          <w:tcPr>
            <w:tcW w:w="5000" w:type="pct"/>
            <w:tcBorders>
              <w:tl2br w:val="nil"/>
              <w:tr2bl w:val="nil"/>
            </w:tcBorders>
            <w:vAlign w:val="top"/>
          </w:tcPr>
          <w:p w14:paraId="7965AA5E">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生态影响</w:t>
            </w:r>
          </w:p>
          <w:p w14:paraId="4E8E9BF5">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生态环境影响调查范围为以</w:t>
            </w:r>
            <w:r>
              <w:rPr>
                <w:rFonts w:hint="eastAsia" w:ascii="Times New Roman" w:hAnsi="Times New Roman" w:eastAsia="宋体" w:cs="Times New Roman"/>
                <w:snapToGrid/>
                <w:color w:val="000000"/>
                <w:kern w:val="0"/>
                <w:sz w:val="24"/>
                <w:szCs w:val="24"/>
                <w:lang w:val="en-US" w:eastAsia="zh-CN" w:bidi="ar-SA"/>
              </w:rPr>
              <w:t>升压站边界</w:t>
            </w:r>
            <w:r>
              <w:rPr>
                <w:rFonts w:hint="default" w:ascii="Times New Roman" w:hAnsi="Times New Roman" w:eastAsia="宋体" w:cs="Times New Roman"/>
                <w:snapToGrid/>
                <w:color w:val="000000"/>
                <w:kern w:val="0"/>
                <w:sz w:val="24"/>
                <w:szCs w:val="24"/>
                <w:lang w:val="en-US" w:eastAsia="zh-CN" w:bidi="ar-SA"/>
              </w:rPr>
              <w:t>外延</w:t>
            </w:r>
            <w:r>
              <w:rPr>
                <w:rFonts w:hint="eastAsia" w:ascii="Times New Roman" w:hAnsi="Times New Roman" w:eastAsia="宋体" w:cs="Times New Roman"/>
                <w:snapToGrid/>
                <w:color w:val="000000"/>
                <w:kern w:val="0"/>
                <w:sz w:val="24"/>
                <w:szCs w:val="24"/>
                <w:lang w:val="en-US" w:eastAsia="zh-CN" w:bidi="ar-SA"/>
              </w:rPr>
              <w:t>5</w:t>
            </w:r>
            <w:r>
              <w:rPr>
                <w:rFonts w:hint="default" w:ascii="Times New Roman" w:hAnsi="Times New Roman" w:eastAsia="宋体" w:cs="Times New Roman"/>
                <w:snapToGrid/>
                <w:color w:val="000000"/>
                <w:kern w:val="0"/>
                <w:sz w:val="24"/>
                <w:szCs w:val="24"/>
                <w:lang w:val="en-US" w:eastAsia="zh-CN" w:bidi="ar-SA"/>
              </w:rPr>
              <w:t>00 m范围内。生态环境影响调查内容为</w:t>
            </w:r>
            <w:r>
              <w:rPr>
                <w:rFonts w:hint="eastAsia" w:ascii="Times New Roman" w:hAnsi="Times New Roman" w:eastAsia="宋体" w:cs="Times New Roman"/>
                <w:snapToGrid/>
                <w:color w:val="000000"/>
                <w:kern w:val="0"/>
                <w:sz w:val="24"/>
                <w:szCs w:val="24"/>
                <w:lang w:val="en-US" w:eastAsia="zh-CN" w:bidi="ar-SA"/>
              </w:rPr>
              <w:t>升压站</w:t>
            </w:r>
            <w:r>
              <w:rPr>
                <w:rFonts w:hint="default" w:ascii="Times New Roman" w:hAnsi="Times New Roman" w:eastAsia="宋体" w:cs="Times New Roman"/>
                <w:snapToGrid/>
                <w:color w:val="000000"/>
                <w:kern w:val="0"/>
                <w:sz w:val="24"/>
                <w:szCs w:val="24"/>
                <w:lang w:val="en-US" w:eastAsia="zh-CN" w:bidi="ar-SA"/>
              </w:rPr>
              <w:t>建设施工过程中的占地、植被破坏情况、取弃土情况、涉及的古树名木影响及保护情况，项目施工临时占地及其植被恢复、水土保持工作落实效果。</w:t>
            </w:r>
          </w:p>
          <w:p w14:paraId="0E212DD1">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eastAsia" w:ascii="Times New Roman" w:hAnsi="Times New Roman" w:cs="Times New Roman"/>
                <w:color w:val="000000"/>
                <w:sz w:val="24"/>
                <w:szCs w:val="24"/>
                <w:lang w:eastAsia="zh-CN"/>
              </w:rPr>
              <w:t>颍上绿动风电场项目（110kV升压站电磁环境影响评价）</w:t>
            </w:r>
            <w:r>
              <w:rPr>
                <w:rFonts w:hint="default" w:ascii="Times New Roman" w:hAnsi="Times New Roman" w:eastAsia="宋体" w:cs="Times New Roman"/>
                <w:snapToGrid/>
                <w:color w:val="000000"/>
                <w:kern w:val="0"/>
                <w:sz w:val="24"/>
                <w:szCs w:val="24"/>
                <w:lang w:val="en-US" w:eastAsia="zh-CN" w:bidi="ar-SA"/>
              </w:rPr>
              <w:t>位于阜阳市颍上县境内，</w:t>
            </w:r>
            <w:r>
              <w:rPr>
                <w:rFonts w:hint="eastAsia" w:ascii="Times New Roman" w:hAnsi="Times New Roman" w:eastAsia="宋体" w:cs="Times New Roman"/>
                <w:snapToGrid/>
                <w:color w:val="000000"/>
                <w:kern w:val="0"/>
                <w:sz w:val="24"/>
                <w:szCs w:val="24"/>
                <w:lang w:val="en-US" w:eastAsia="zh-CN" w:bidi="ar-SA"/>
              </w:rPr>
              <w:t>升压站</w:t>
            </w:r>
            <w:r>
              <w:rPr>
                <w:rFonts w:hint="default" w:ascii="Times New Roman" w:hAnsi="Times New Roman" w:eastAsia="宋体" w:cs="Times New Roman"/>
                <w:snapToGrid/>
                <w:color w:val="000000"/>
                <w:kern w:val="0"/>
                <w:sz w:val="24"/>
                <w:szCs w:val="24"/>
                <w:lang w:val="en-US" w:eastAsia="zh-CN" w:bidi="ar-SA"/>
              </w:rPr>
              <w:t>占地面积小。根据现场调查，本工程涉及区域无珍稀保护野生动植物，区域植被主要以绿化植被为主，动物主要以麻雀、鼠类、蛙类等常见小型野生动物为主。整体来说，本期工程的建设基本按照设计和环评要求进行施工，对周边生态系统的影响较小。</w:t>
            </w:r>
          </w:p>
          <w:p w14:paraId="039ED50A">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本项目评价范围均不涉及国家公园、自然保护区、风景名胜区、世界文化和自然遗产地、海洋特别保护区、饮用水水源保护区等《建设项目环境影响评价分类管理名录（2021年版）》第三条（一）中的环境敏感区，符合安徽省生态保护红线管控的要求。</w:t>
            </w:r>
          </w:p>
        </w:tc>
      </w:tr>
      <w:tr w14:paraId="4B86AD4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919" w:hRule="atLeast"/>
        </w:trPr>
        <w:tc>
          <w:tcPr>
            <w:tcW w:w="5000" w:type="pct"/>
            <w:tcBorders>
              <w:tl2br w:val="nil"/>
              <w:tr2bl w:val="nil"/>
            </w:tcBorders>
            <w:vAlign w:val="top"/>
          </w:tcPr>
          <w:p w14:paraId="40D61959">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污染影响</w:t>
            </w:r>
            <w:r>
              <w:rPr>
                <w:rFonts w:hint="default" w:ascii="Times New Roman" w:hAnsi="Times New Roman" w:eastAsia="宋体" w:cs="Times New Roman"/>
                <w:snapToGrid/>
                <w:color w:val="000000"/>
                <w:kern w:val="0"/>
                <w:sz w:val="24"/>
                <w:szCs w:val="24"/>
                <w:lang w:val="en-US" w:eastAsia="zh-CN" w:bidi="ar-SA"/>
              </w:rPr>
              <w:t></w:t>
            </w:r>
          </w:p>
          <w:p w14:paraId="56F0F0A6">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1、</w:t>
            </w:r>
            <w:r>
              <w:rPr>
                <w:rFonts w:hint="default" w:ascii="Times New Roman" w:hAnsi="Times New Roman" w:eastAsia="宋体" w:cs="Times New Roman"/>
                <w:snapToGrid/>
                <w:color w:val="000000"/>
                <w:kern w:val="0"/>
                <w:sz w:val="24"/>
                <w:szCs w:val="24"/>
                <w:lang w:val="en-US" w:eastAsia="zh-CN" w:bidi="ar-SA"/>
              </w:rPr>
              <w:t>环境空气影响</w:t>
            </w:r>
          </w:p>
          <w:p w14:paraId="5AC21614">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施工单位注重文明施工。施工场地设置硬质围挡（墙），临时施工道路进行了硬化等防尘处理，定期洒水，施工扬尘得到了有效的抑制。气象预报风力达到5级以上的天气，不进行车辆运输等作业。通过拦挡、苫盖、洒水等措施减少土石方开挖量的扬尘影响；工程施工时，车辆运输产生的扬尘短期内将使局部区域空气中的TSP明显增加，对周围局部地区的环境产生暂时影响，通过采取上述防尘控制措施，施工对大气环境影响较小。</w:t>
            </w:r>
          </w:p>
          <w:p w14:paraId="54CA71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2、</w:t>
            </w:r>
            <w:r>
              <w:rPr>
                <w:rFonts w:hint="default" w:ascii="Times New Roman" w:hAnsi="Times New Roman" w:eastAsia="宋体" w:cs="Times New Roman"/>
                <w:snapToGrid/>
                <w:color w:val="000000"/>
                <w:kern w:val="0"/>
                <w:sz w:val="24"/>
                <w:szCs w:val="24"/>
                <w:lang w:val="en-US" w:eastAsia="zh-CN" w:bidi="ar-SA"/>
              </w:rPr>
              <w:t>声环境影响</w:t>
            </w:r>
          </w:p>
          <w:p w14:paraId="1919C953">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工程施工期采用低噪声施工设备</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合理按排施工作业时间。工程建设对周围环境带来噪声影响</w:t>
            </w:r>
            <w:r>
              <w:rPr>
                <w:rFonts w:hint="eastAsia" w:ascii="Times New Roman" w:hAnsi="Times New Roman" w:eastAsia="宋体" w:cs="Times New Roman"/>
                <w:snapToGrid/>
                <w:color w:val="000000"/>
                <w:kern w:val="0"/>
                <w:sz w:val="24"/>
                <w:szCs w:val="24"/>
                <w:lang w:val="en-US" w:eastAsia="zh-CN" w:bidi="ar-SA"/>
              </w:rPr>
              <w:t>满足</w:t>
            </w:r>
            <w:r>
              <w:rPr>
                <w:rFonts w:hint="default" w:ascii="Times New Roman" w:hAnsi="Times New Roman" w:eastAsia="宋体" w:cs="Times New Roman"/>
                <w:snapToGrid/>
                <w:color w:val="000000"/>
                <w:kern w:val="0"/>
                <w:sz w:val="24"/>
                <w:szCs w:val="24"/>
                <w:lang w:val="en-US" w:eastAsia="zh-CN" w:bidi="ar-SA"/>
              </w:rPr>
              <w:t>《工业企业厂界环境噪声排放标准》（GB12348-2008）</w:t>
            </w:r>
            <w:r>
              <w:rPr>
                <w:rFonts w:hint="eastAsia" w:ascii="Times New Roman" w:hAnsi="Times New Roman" w:eastAsia="宋体" w:cs="Times New Roman"/>
                <w:snapToGrid/>
                <w:color w:val="000000"/>
                <w:kern w:val="0"/>
                <w:sz w:val="24"/>
                <w:szCs w:val="24"/>
                <w:lang w:val="en-US" w:eastAsia="zh-CN" w:bidi="ar-SA"/>
              </w:rPr>
              <w:t>2类标准</w:t>
            </w:r>
            <w:r>
              <w:rPr>
                <w:rFonts w:hint="default" w:ascii="Times New Roman" w:hAnsi="Times New Roman" w:eastAsia="宋体" w:cs="Times New Roman"/>
                <w:snapToGrid/>
                <w:color w:val="000000"/>
                <w:kern w:val="0"/>
                <w:sz w:val="24"/>
                <w:szCs w:val="24"/>
                <w:lang w:val="en-US" w:eastAsia="zh-CN" w:bidi="ar-SA"/>
              </w:rPr>
              <w:t>要求</w:t>
            </w:r>
            <w:r>
              <w:rPr>
                <w:rFonts w:hint="eastAsia" w:ascii="Times New Roman" w:hAnsi="Times New Roman" w:eastAsia="宋体" w:cs="Times New Roman"/>
                <w:snapToGrid/>
                <w:color w:val="000000"/>
                <w:kern w:val="0"/>
                <w:sz w:val="24"/>
                <w:szCs w:val="24"/>
                <w:lang w:val="en-US" w:eastAsia="zh-CN" w:bidi="ar-SA"/>
              </w:rPr>
              <w:t>，施工期噪声排放满足《建筑施工场界环境噪声排放标准》（GB12523-2011）</w:t>
            </w:r>
            <w:r>
              <w:rPr>
                <w:rFonts w:hint="default" w:ascii="Times New Roman" w:hAnsi="Times New Roman" w:eastAsia="宋体" w:cs="Times New Roman"/>
                <w:snapToGrid/>
                <w:color w:val="000000"/>
                <w:kern w:val="0"/>
                <w:sz w:val="24"/>
                <w:szCs w:val="24"/>
                <w:lang w:val="en-US" w:eastAsia="zh-CN" w:bidi="ar-SA"/>
              </w:rPr>
              <w:t>。</w:t>
            </w:r>
          </w:p>
          <w:p w14:paraId="514F66DB">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3、</w:t>
            </w:r>
            <w:r>
              <w:rPr>
                <w:rFonts w:hint="default" w:ascii="Times New Roman" w:hAnsi="Times New Roman" w:eastAsia="宋体" w:cs="Times New Roman"/>
                <w:snapToGrid/>
                <w:color w:val="000000"/>
                <w:kern w:val="0"/>
                <w:sz w:val="24"/>
                <w:szCs w:val="24"/>
                <w:lang w:val="en-US" w:eastAsia="zh-CN" w:bidi="ar-SA"/>
              </w:rPr>
              <w:t>水环境影响</w:t>
            </w:r>
          </w:p>
          <w:p w14:paraId="5616CE51">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施工期临时用水及排水设施全面规划</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在施工现场设置临时的污水沉淀池处理施工废水。施工废水经沉淀后</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上清液用于施工场地降尘</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施工废水未对水环境造成影响。</w:t>
            </w:r>
          </w:p>
          <w:p w14:paraId="0B50EEB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4、</w:t>
            </w:r>
            <w:r>
              <w:rPr>
                <w:rFonts w:hint="default" w:ascii="Times New Roman" w:hAnsi="Times New Roman" w:eastAsia="宋体" w:cs="Times New Roman"/>
                <w:snapToGrid/>
                <w:color w:val="000000"/>
                <w:kern w:val="0"/>
                <w:sz w:val="24"/>
                <w:szCs w:val="24"/>
                <w:lang w:val="en-US" w:eastAsia="zh-CN" w:bidi="ar-SA"/>
              </w:rPr>
              <w:t>固体废物影响</w:t>
            </w:r>
          </w:p>
          <w:p w14:paraId="009DA592">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施工建筑垃圾与施工人员生活垃圾由所在地环卫部门统一收集处理</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施工期固体废物未对环境造成影响。</w:t>
            </w:r>
          </w:p>
          <w:p w14:paraId="0AFC9C61">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验收调查期间</w:t>
            </w:r>
            <w:r>
              <w:rPr>
                <w:rFonts w:hint="eastAsia" w:ascii="Times New Roman" w:hAnsi="Times New Roman" w:eastAsia="宋体" w:cs="Times New Roman"/>
                <w:b/>
                <w:bCs/>
                <w:snapToGrid/>
                <w:color w:val="000000"/>
                <w:kern w:val="0"/>
                <w:sz w:val="24"/>
                <w:szCs w:val="24"/>
                <w:lang w:val="en-US" w:eastAsia="zh-CN" w:bidi="ar-SA"/>
              </w:rPr>
              <w:t>，</w:t>
            </w:r>
            <w:r>
              <w:rPr>
                <w:rFonts w:hint="default" w:ascii="Times New Roman" w:hAnsi="Times New Roman" w:eastAsia="宋体" w:cs="Times New Roman"/>
                <w:b/>
                <w:bCs/>
                <w:snapToGrid/>
                <w:color w:val="000000"/>
                <w:kern w:val="0"/>
                <w:sz w:val="24"/>
                <w:szCs w:val="24"/>
                <w:lang w:val="en-US" w:eastAsia="zh-CN" w:bidi="ar-SA"/>
              </w:rPr>
              <w:t>未接到有关工程施工期污染投诉</w:t>
            </w:r>
            <w:r>
              <w:rPr>
                <w:rFonts w:hint="eastAsia" w:ascii="Times New Roman" w:hAnsi="Times New Roman" w:eastAsia="宋体" w:cs="Times New Roman"/>
                <w:b/>
                <w:bCs/>
                <w:snapToGrid/>
                <w:color w:val="000000"/>
                <w:kern w:val="0"/>
                <w:sz w:val="24"/>
                <w:szCs w:val="24"/>
                <w:lang w:val="en-US" w:eastAsia="zh-CN" w:bidi="ar-SA"/>
              </w:rPr>
              <w:t>。</w:t>
            </w:r>
          </w:p>
          <w:p w14:paraId="17B4AAE4">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宋体" w:cs="Times New Roman"/>
                <w:b/>
                <w:bCs/>
                <w:snapToGrid/>
                <w:color w:val="000000"/>
                <w:kern w:val="0"/>
                <w:sz w:val="24"/>
                <w:szCs w:val="24"/>
                <w:lang w:val="en-US" w:eastAsia="zh-CN" w:bidi="ar-SA"/>
              </w:rPr>
            </w:pPr>
          </w:p>
          <w:p w14:paraId="50188AB2">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宋体" w:cs="Times New Roman"/>
                <w:b/>
                <w:bCs/>
                <w:snapToGrid/>
                <w:color w:val="000000"/>
                <w:kern w:val="0"/>
                <w:sz w:val="24"/>
                <w:szCs w:val="24"/>
                <w:lang w:val="en-US" w:eastAsia="zh-CN" w:bidi="ar-SA"/>
              </w:rPr>
            </w:pPr>
          </w:p>
          <w:p w14:paraId="0B782EE2">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宋体" w:cs="Times New Roman"/>
                <w:b/>
                <w:bCs/>
                <w:snapToGrid/>
                <w:color w:val="000000"/>
                <w:kern w:val="0"/>
                <w:sz w:val="24"/>
                <w:szCs w:val="24"/>
                <w:lang w:val="en-US" w:eastAsia="zh-CN" w:bidi="ar-SA"/>
              </w:rPr>
            </w:pPr>
          </w:p>
          <w:p w14:paraId="78DE03F7">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宋体" w:cs="Times New Roman"/>
                <w:b/>
                <w:bCs/>
                <w:snapToGrid/>
                <w:color w:val="000000"/>
                <w:kern w:val="0"/>
                <w:sz w:val="24"/>
                <w:szCs w:val="24"/>
                <w:lang w:val="en-US" w:eastAsia="zh-CN" w:bidi="ar-SA"/>
              </w:rPr>
            </w:pPr>
          </w:p>
          <w:p w14:paraId="79F5EED9">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宋体" w:cs="Times New Roman"/>
                <w:b/>
                <w:bCs/>
                <w:snapToGrid/>
                <w:color w:val="000000"/>
                <w:kern w:val="0"/>
                <w:sz w:val="24"/>
                <w:szCs w:val="24"/>
                <w:lang w:val="en-US" w:eastAsia="zh-CN" w:bidi="ar-SA"/>
              </w:rPr>
            </w:pPr>
          </w:p>
          <w:p w14:paraId="56605EE1">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宋体" w:cs="Times New Roman"/>
                <w:b/>
                <w:bCs/>
                <w:snapToGrid/>
                <w:color w:val="000000"/>
                <w:kern w:val="0"/>
                <w:sz w:val="24"/>
                <w:szCs w:val="24"/>
                <w:lang w:val="en-US" w:eastAsia="zh-CN" w:bidi="ar-SA"/>
              </w:rPr>
            </w:pPr>
          </w:p>
          <w:p w14:paraId="40AB1FFA">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宋体" w:cs="Times New Roman"/>
                <w:b/>
                <w:bCs/>
                <w:snapToGrid/>
                <w:color w:val="000000"/>
                <w:kern w:val="0"/>
                <w:sz w:val="24"/>
                <w:szCs w:val="24"/>
                <w:lang w:val="en-US" w:eastAsia="zh-CN" w:bidi="ar-SA"/>
              </w:rPr>
            </w:pPr>
          </w:p>
          <w:p w14:paraId="615AEE88">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宋体" w:cs="Times New Roman"/>
                <w:b/>
                <w:bCs/>
                <w:snapToGrid/>
                <w:color w:val="000000"/>
                <w:kern w:val="0"/>
                <w:sz w:val="24"/>
                <w:szCs w:val="24"/>
                <w:lang w:val="en-US" w:eastAsia="zh-CN" w:bidi="ar-SA"/>
              </w:rPr>
            </w:pPr>
          </w:p>
          <w:p w14:paraId="438AFE4C">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宋体" w:cs="Times New Roman"/>
                <w:b/>
                <w:bCs/>
                <w:snapToGrid/>
                <w:color w:val="000000"/>
                <w:kern w:val="0"/>
                <w:sz w:val="24"/>
                <w:szCs w:val="24"/>
                <w:lang w:val="en-US" w:eastAsia="zh-CN" w:bidi="ar-SA"/>
              </w:rPr>
            </w:pPr>
          </w:p>
          <w:p w14:paraId="790E25F9">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宋体" w:cs="Times New Roman"/>
                <w:b/>
                <w:bCs/>
                <w:snapToGrid/>
                <w:color w:val="000000"/>
                <w:kern w:val="0"/>
                <w:sz w:val="24"/>
                <w:szCs w:val="24"/>
                <w:lang w:val="en-US" w:eastAsia="zh-CN" w:bidi="ar-SA"/>
              </w:rPr>
            </w:pPr>
          </w:p>
          <w:p w14:paraId="7CD1606F">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宋体" w:cs="Times New Roman"/>
                <w:b/>
                <w:bCs/>
                <w:snapToGrid/>
                <w:color w:val="000000"/>
                <w:kern w:val="0"/>
                <w:sz w:val="24"/>
                <w:szCs w:val="24"/>
                <w:lang w:val="en-US" w:eastAsia="zh-CN" w:bidi="ar-SA"/>
              </w:rPr>
            </w:pPr>
          </w:p>
          <w:p w14:paraId="4395DE39">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宋体" w:cs="Times New Roman"/>
                <w:b/>
                <w:bCs/>
                <w:snapToGrid/>
                <w:color w:val="000000"/>
                <w:kern w:val="0"/>
                <w:sz w:val="24"/>
                <w:szCs w:val="24"/>
                <w:lang w:val="en-US" w:eastAsia="zh-CN" w:bidi="ar-SA"/>
              </w:rPr>
            </w:pPr>
          </w:p>
          <w:p w14:paraId="7ED2E04C">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宋体" w:cs="Times New Roman"/>
                <w:b/>
                <w:bCs/>
                <w:snapToGrid/>
                <w:color w:val="000000"/>
                <w:kern w:val="0"/>
                <w:sz w:val="24"/>
                <w:szCs w:val="24"/>
                <w:lang w:val="en-US" w:eastAsia="zh-CN" w:bidi="ar-SA"/>
              </w:rPr>
            </w:pPr>
          </w:p>
          <w:p w14:paraId="2224590C">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宋体" w:cs="Times New Roman"/>
                <w:b/>
                <w:bCs/>
                <w:snapToGrid/>
                <w:color w:val="000000"/>
                <w:kern w:val="0"/>
                <w:sz w:val="24"/>
                <w:szCs w:val="24"/>
                <w:lang w:val="en-US" w:eastAsia="zh-CN" w:bidi="ar-SA"/>
              </w:rPr>
            </w:pPr>
          </w:p>
          <w:p w14:paraId="2022492A">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宋体" w:cs="Times New Roman"/>
                <w:b/>
                <w:bCs/>
                <w:snapToGrid/>
                <w:color w:val="000000"/>
                <w:kern w:val="0"/>
                <w:sz w:val="24"/>
                <w:szCs w:val="24"/>
                <w:lang w:val="en-US" w:eastAsia="zh-CN" w:bidi="ar-SA"/>
              </w:rPr>
            </w:pPr>
          </w:p>
          <w:p w14:paraId="3AEE45BC">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宋体" w:cs="Times New Roman"/>
                <w:b/>
                <w:bCs/>
                <w:snapToGrid/>
                <w:color w:val="000000"/>
                <w:kern w:val="0"/>
                <w:sz w:val="24"/>
                <w:szCs w:val="24"/>
                <w:lang w:val="en-US" w:eastAsia="zh-CN" w:bidi="ar-SA"/>
              </w:rPr>
            </w:pPr>
          </w:p>
          <w:p w14:paraId="0B794519">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宋体" w:cs="Times New Roman"/>
                <w:b/>
                <w:bCs/>
                <w:snapToGrid/>
                <w:color w:val="000000"/>
                <w:kern w:val="0"/>
                <w:sz w:val="24"/>
                <w:szCs w:val="24"/>
                <w:lang w:val="en-US" w:eastAsia="zh-CN" w:bidi="ar-SA"/>
              </w:rPr>
            </w:pPr>
          </w:p>
          <w:p w14:paraId="6E3883FE">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宋体" w:cs="Times New Roman"/>
                <w:b/>
                <w:bCs/>
                <w:snapToGrid/>
                <w:color w:val="000000"/>
                <w:kern w:val="0"/>
                <w:sz w:val="24"/>
                <w:szCs w:val="24"/>
                <w:lang w:val="en-US" w:eastAsia="zh-CN" w:bidi="ar-SA"/>
              </w:rPr>
            </w:pPr>
          </w:p>
          <w:p w14:paraId="7F9C6899">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宋体" w:cs="Times New Roman"/>
                <w:b/>
                <w:bCs/>
                <w:snapToGrid/>
                <w:color w:val="000000"/>
                <w:kern w:val="0"/>
                <w:sz w:val="24"/>
                <w:szCs w:val="24"/>
                <w:lang w:val="en-US" w:eastAsia="zh-CN" w:bidi="ar-SA"/>
              </w:rPr>
            </w:pPr>
          </w:p>
          <w:p w14:paraId="43BDA245">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宋体" w:cs="Times New Roman"/>
                <w:b/>
                <w:bCs/>
                <w:snapToGrid/>
                <w:color w:val="000000"/>
                <w:kern w:val="0"/>
                <w:sz w:val="24"/>
                <w:szCs w:val="24"/>
                <w:lang w:val="en-US" w:eastAsia="zh-CN" w:bidi="ar-SA"/>
              </w:rPr>
            </w:pPr>
          </w:p>
          <w:p w14:paraId="35197430">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宋体" w:cs="Times New Roman"/>
                <w:b/>
                <w:bCs/>
                <w:snapToGrid/>
                <w:color w:val="000000"/>
                <w:kern w:val="0"/>
                <w:sz w:val="24"/>
                <w:szCs w:val="24"/>
                <w:lang w:val="en-US" w:eastAsia="zh-CN" w:bidi="ar-SA"/>
              </w:rPr>
            </w:pPr>
          </w:p>
          <w:p w14:paraId="08C635B3">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宋体" w:cs="Times New Roman"/>
                <w:b/>
                <w:bCs/>
                <w:snapToGrid/>
                <w:color w:val="000000"/>
                <w:kern w:val="0"/>
                <w:sz w:val="24"/>
                <w:szCs w:val="24"/>
                <w:lang w:val="en-US" w:eastAsia="zh-CN" w:bidi="ar-SA"/>
              </w:rPr>
            </w:pPr>
          </w:p>
          <w:p w14:paraId="734F8D86">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napToGrid/>
                <w:color w:val="000000"/>
                <w:kern w:val="0"/>
                <w:sz w:val="24"/>
                <w:szCs w:val="24"/>
                <w:lang w:val="en-US" w:eastAsia="zh-CN" w:bidi="ar-SA"/>
              </w:rPr>
            </w:pPr>
          </w:p>
        </w:tc>
      </w:tr>
      <w:tr w14:paraId="459FEE0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000" w:type="pct"/>
            <w:tcBorders>
              <w:tl2br w:val="nil"/>
              <w:tr2bl w:val="nil"/>
            </w:tcBorders>
            <w:vAlign w:val="top"/>
          </w:tcPr>
          <w:p w14:paraId="5F5F347F">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环境保护设施调试期</w:t>
            </w:r>
          </w:p>
        </w:tc>
      </w:tr>
      <w:tr w14:paraId="5998C38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109" w:hRule="atLeast"/>
        </w:trPr>
        <w:tc>
          <w:tcPr>
            <w:tcW w:w="5000" w:type="pct"/>
            <w:tcBorders>
              <w:tl2br w:val="nil"/>
              <w:tr2bl w:val="nil"/>
            </w:tcBorders>
            <w:vAlign w:val="top"/>
          </w:tcPr>
          <w:p w14:paraId="68F66610">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生态影响</w:t>
            </w:r>
          </w:p>
          <w:p w14:paraId="29EB6EA6">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1、对植被恢复的影响</w:t>
            </w:r>
          </w:p>
          <w:p w14:paraId="777E29F1">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升压</w:t>
            </w:r>
            <w:r>
              <w:rPr>
                <w:rFonts w:hint="default" w:ascii="Times New Roman" w:hAnsi="Times New Roman" w:eastAsia="宋体" w:cs="Times New Roman"/>
                <w:snapToGrid/>
                <w:color w:val="000000"/>
                <w:kern w:val="0"/>
                <w:sz w:val="24"/>
                <w:szCs w:val="24"/>
                <w:lang w:val="en-US" w:eastAsia="zh-CN" w:bidi="ar-SA"/>
              </w:rPr>
              <w:t>站区植被生长良好</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附近植被已恢复</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工程运行对生态环境无影响。</w:t>
            </w:r>
          </w:p>
          <w:p w14:paraId="355B3C6F">
            <w:pPr>
              <w:keepNext w:val="0"/>
              <w:keepLines w:val="0"/>
              <w:pageBreakBefore w:val="0"/>
              <w:widowControl/>
              <w:numPr>
                <w:ilvl w:val="0"/>
                <w:numId w:val="0"/>
              </w:numPr>
              <w:tabs>
                <w:tab w:val="left" w:pos="775"/>
              </w:tabs>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2、对动物影响</w:t>
            </w:r>
          </w:p>
          <w:p w14:paraId="7D1B902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运行期对野生动物的影响主要是对鸟类活动的影响。经调查，本项目不在鸟类迁徙通道上，项目所在区域没有发现重点保护的野生鸟类。项目区活动的野生动物主要以麻雀、鼠类、蛙类等常见小型野生动物为主。不会影响整个生态系统的连续性和完整性，没有对野生动物的生存环境造成明显破坏，不会对野生动物的正常活动和迁徙产生明显不良影响。</w:t>
            </w:r>
          </w:p>
        </w:tc>
      </w:tr>
      <w:tr w14:paraId="6873566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999" w:hRule="atLeast"/>
        </w:trPr>
        <w:tc>
          <w:tcPr>
            <w:tcW w:w="5000" w:type="pct"/>
            <w:tcBorders>
              <w:tl2br w:val="nil"/>
              <w:tr2bl w:val="nil"/>
            </w:tcBorders>
            <w:vAlign w:val="top"/>
          </w:tcPr>
          <w:p w14:paraId="5364683F">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污染影响</w:t>
            </w:r>
            <w:r>
              <w:rPr>
                <w:rFonts w:hint="default" w:ascii="Times New Roman" w:hAnsi="Times New Roman" w:eastAsia="宋体" w:cs="Times New Roman"/>
                <w:snapToGrid/>
                <w:color w:val="000000"/>
                <w:kern w:val="0"/>
                <w:sz w:val="24"/>
                <w:szCs w:val="24"/>
                <w:lang w:val="en-US" w:eastAsia="zh-CN" w:bidi="ar-SA"/>
              </w:rPr>
              <w:t></w:t>
            </w:r>
          </w:p>
          <w:p w14:paraId="1630B0FB">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1</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电磁环境和声环境</w:t>
            </w:r>
          </w:p>
          <w:p w14:paraId="2FEF0E4A">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本项目电磁环境影响主要为工频电场、工频磁场影响。验收监测结果表明本工程输电线路衰减断面及环保目标等各监测点处的工频电场、工频磁感应强度测值均符合《电磁环境控制限值》（GB8702-2014）中公众暴露区工频电场不大于4000V/m、工频磁感应强度不大于100μT的限值要求。</w:t>
            </w:r>
          </w:p>
          <w:p w14:paraId="7E96015C">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2、声环境</w:t>
            </w:r>
          </w:p>
          <w:p w14:paraId="71EBC17A">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由监测结果可知，</w:t>
            </w:r>
            <w:r>
              <w:rPr>
                <w:rFonts w:hint="eastAsia" w:ascii="Times New Roman" w:hAnsi="Times New Roman" w:eastAsia="宋体" w:cs="Times New Roman"/>
                <w:snapToGrid/>
                <w:color w:val="000000"/>
                <w:kern w:val="0"/>
                <w:sz w:val="24"/>
                <w:szCs w:val="24"/>
                <w:lang w:val="en-US" w:eastAsia="zh-CN" w:bidi="ar-SA"/>
              </w:rPr>
              <w:t>厂界噪声排放满足</w:t>
            </w:r>
            <w:r>
              <w:rPr>
                <w:rFonts w:hint="default" w:ascii="Times New Roman" w:hAnsi="Times New Roman" w:eastAsia="宋体" w:cs="Times New Roman"/>
                <w:snapToGrid/>
                <w:color w:val="000000"/>
                <w:kern w:val="0"/>
                <w:sz w:val="24"/>
                <w:szCs w:val="24"/>
                <w:lang w:val="en-US" w:eastAsia="zh-CN" w:bidi="ar-SA"/>
              </w:rPr>
              <w:t>《工业企业厂界环境噪声排放标准》（GB12348-2008）</w:t>
            </w:r>
            <w:r>
              <w:rPr>
                <w:rFonts w:hint="eastAsia" w:ascii="Times New Roman" w:hAnsi="Times New Roman" w:eastAsia="宋体" w:cs="Times New Roman"/>
                <w:snapToGrid/>
                <w:color w:val="000000"/>
                <w:kern w:val="0"/>
                <w:sz w:val="24"/>
                <w:szCs w:val="24"/>
                <w:lang w:val="en-US" w:eastAsia="zh-CN" w:bidi="ar-SA"/>
              </w:rPr>
              <w:t>2类标准</w:t>
            </w:r>
            <w:r>
              <w:rPr>
                <w:rFonts w:hint="default" w:ascii="Times New Roman" w:hAnsi="Times New Roman" w:eastAsia="宋体" w:cs="Times New Roman"/>
                <w:snapToGrid/>
                <w:color w:val="000000"/>
                <w:kern w:val="0"/>
                <w:sz w:val="24"/>
                <w:szCs w:val="24"/>
                <w:lang w:val="en-US" w:eastAsia="zh-CN" w:bidi="ar-SA"/>
              </w:rPr>
              <w:t>要求。</w:t>
            </w:r>
          </w:p>
          <w:p w14:paraId="1A1EDCEA">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3、</w:t>
            </w:r>
            <w:r>
              <w:rPr>
                <w:rFonts w:hint="default" w:ascii="Times New Roman" w:hAnsi="Times New Roman" w:eastAsia="宋体" w:cs="Times New Roman"/>
                <w:snapToGrid/>
                <w:color w:val="000000"/>
                <w:kern w:val="0"/>
                <w:sz w:val="24"/>
                <w:szCs w:val="24"/>
                <w:lang w:val="en-US" w:eastAsia="zh-CN" w:bidi="ar-SA"/>
              </w:rPr>
              <w:t>水环境</w:t>
            </w:r>
          </w:p>
          <w:p w14:paraId="559D7CAA">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升压站</w:t>
            </w:r>
            <w:r>
              <w:rPr>
                <w:rFonts w:hint="default" w:ascii="Times New Roman" w:hAnsi="Times New Roman" w:eastAsia="宋体" w:cs="Times New Roman"/>
                <w:snapToGrid/>
                <w:color w:val="000000"/>
                <w:kern w:val="0"/>
                <w:sz w:val="24"/>
                <w:szCs w:val="24"/>
                <w:lang w:val="en-US" w:eastAsia="zh-CN" w:bidi="ar-SA"/>
              </w:rPr>
              <w:t>正常运行时无废水产生</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生活污水经化粪池处理后</w:t>
            </w:r>
            <w:r>
              <w:rPr>
                <w:rFonts w:hint="eastAsia" w:ascii="Times New Roman" w:hAnsi="Times New Roman" w:eastAsia="宋体" w:cs="Times New Roman"/>
                <w:snapToGrid/>
                <w:color w:val="000000"/>
                <w:kern w:val="0"/>
                <w:sz w:val="24"/>
                <w:szCs w:val="24"/>
                <w:lang w:val="en-US" w:eastAsia="zh-CN" w:bidi="ar-SA"/>
              </w:rPr>
              <w:t>定期清掏</w:t>
            </w:r>
            <w:r>
              <w:rPr>
                <w:rFonts w:hint="default" w:ascii="Times New Roman" w:hAnsi="Times New Roman" w:eastAsia="宋体" w:cs="Times New Roman"/>
                <w:snapToGrid/>
                <w:color w:val="000000"/>
                <w:kern w:val="0"/>
                <w:sz w:val="24"/>
                <w:szCs w:val="24"/>
                <w:lang w:val="en-US" w:eastAsia="zh-CN" w:bidi="ar-SA"/>
              </w:rPr>
              <w:t>。</w:t>
            </w:r>
          </w:p>
          <w:p w14:paraId="76C3DA97">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4、</w:t>
            </w:r>
            <w:r>
              <w:rPr>
                <w:rFonts w:hint="default" w:ascii="Times New Roman" w:hAnsi="Times New Roman" w:eastAsia="宋体" w:cs="Times New Roman"/>
                <w:snapToGrid/>
                <w:color w:val="000000"/>
                <w:kern w:val="0"/>
                <w:sz w:val="24"/>
                <w:szCs w:val="24"/>
                <w:lang w:val="en-US" w:eastAsia="zh-CN" w:bidi="ar-SA"/>
              </w:rPr>
              <w:t>固体废物</w:t>
            </w:r>
          </w:p>
          <w:p w14:paraId="1D9172D9">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生活垃圾由环卫单位统一清运。废铅酸蓄电池、废变压器、废机油等按危险废物暂存要求在升压站内</w:t>
            </w:r>
            <w:r>
              <w:rPr>
                <w:rFonts w:hint="eastAsia" w:ascii="Times New Roman" w:hAnsi="Times New Roman" w:eastAsia="宋体" w:cs="Times New Roman"/>
                <w:snapToGrid/>
                <w:color w:val="000000"/>
                <w:kern w:val="0"/>
                <w:sz w:val="24"/>
                <w:szCs w:val="24"/>
                <w:lang w:val="en-US" w:eastAsia="zh-CN" w:bidi="ar-SA"/>
              </w:rPr>
              <w:t>危废贮存库</w:t>
            </w:r>
            <w:r>
              <w:rPr>
                <w:rFonts w:hint="default" w:ascii="Times New Roman" w:hAnsi="Times New Roman" w:eastAsia="宋体" w:cs="Times New Roman"/>
                <w:snapToGrid/>
                <w:color w:val="000000"/>
                <w:kern w:val="0"/>
                <w:sz w:val="24"/>
                <w:szCs w:val="24"/>
                <w:lang w:val="en-US" w:eastAsia="zh-CN" w:bidi="ar-SA"/>
              </w:rPr>
              <w:t>暂存，委托有资质单位进行处理处置。</w:t>
            </w:r>
            <w:r>
              <w:rPr>
                <w:rFonts w:hint="eastAsia" w:ascii="Times New Roman" w:hAnsi="Times New Roman" w:eastAsia="宋体" w:cs="Times New Roman"/>
                <w:snapToGrid/>
                <w:color w:val="000000"/>
                <w:kern w:val="0"/>
                <w:sz w:val="24"/>
                <w:szCs w:val="24"/>
                <w:lang w:val="en-US" w:eastAsia="zh-CN" w:bidi="ar-SA"/>
              </w:rPr>
              <w:t>固体废物不会造成二次污染。</w:t>
            </w:r>
          </w:p>
          <w:p w14:paraId="1019CC71">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5、</w:t>
            </w:r>
            <w:r>
              <w:rPr>
                <w:rFonts w:hint="default" w:ascii="Times New Roman" w:hAnsi="Times New Roman" w:eastAsia="宋体" w:cs="Times New Roman"/>
                <w:snapToGrid/>
                <w:color w:val="000000"/>
                <w:kern w:val="0"/>
                <w:sz w:val="24"/>
                <w:szCs w:val="24"/>
                <w:lang w:val="en-US" w:eastAsia="zh-CN" w:bidi="ar-SA"/>
              </w:rPr>
              <w:t>环境风险</w:t>
            </w:r>
          </w:p>
          <w:p w14:paraId="01D3708A">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升压站</w:t>
            </w:r>
            <w:r>
              <w:rPr>
                <w:rFonts w:hint="default" w:ascii="Times New Roman" w:hAnsi="Times New Roman" w:eastAsia="宋体" w:cs="Times New Roman"/>
                <w:snapToGrid/>
                <w:color w:val="000000"/>
                <w:kern w:val="0"/>
                <w:sz w:val="24"/>
                <w:szCs w:val="24"/>
                <w:lang w:val="en-US" w:eastAsia="zh-CN" w:bidi="ar-SA"/>
              </w:rPr>
              <w:t>设有事故油池</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变压器事故时变压器油进事故油池</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事故油池的含油污水由有相应资质单位回收处理不外排</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不污染环境。</w:t>
            </w:r>
          </w:p>
          <w:p w14:paraId="1CBF9803">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本项目输电线路事故风险可能有火灾、变压器油外泄污染环境</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偷盗、破坏或维修</w:t>
            </w:r>
            <w:r>
              <w:rPr>
                <w:rFonts w:hint="eastAsia" w:ascii="Times New Roman" w:hAnsi="Times New Roman" w:eastAsia="宋体" w:cs="Times New Roman"/>
                <w:snapToGrid/>
                <w:color w:val="000000"/>
                <w:kern w:val="0"/>
                <w:sz w:val="24"/>
                <w:szCs w:val="24"/>
                <w:lang w:val="en-US" w:eastAsia="zh-CN" w:bidi="ar-SA"/>
              </w:rPr>
              <w:t>升压站</w:t>
            </w:r>
            <w:r>
              <w:rPr>
                <w:rFonts w:hint="default" w:ascii="Times New Roman" w:hAnsi="Times New Roman" w:eastAsia="宋体" w:cs="Times New Roman"/>
                <w:snapToGrid/>
                <w:color w:val="000000"/>
                <w:kern w:val="0"/>
                <w:sz w:val="24"/>
                <w:szCs w:val="24"/>
                <w:lang w:val="en-US" w:eastAsia="zh-CN" w:bidi="ar-SA"/>
              </w:rPr>
              <w:t>设施、线路触电等意外事故。项目采取以下措施项目所使用的变压器油</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具有较好的低温流动性</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有利于发挥冷却散热功能</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结构稳定</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具有良好的电场析气性、氧化安定性、较好的热稳定性</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无毒性</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无挥发性气体的产生。因此</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可以保证主变压器的正常运行。</w:t>
            </w:r>
          </w:p>
          <w:p w14:paraId="3DCD546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针对变压器箱体贮有变压器油</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在变压器所在四周设封闭环绕的集油沟</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并设事故油池</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防止出现漏油事故或检修设备时污染环境。</w:t>
            </w:r>
          </w:p>
          <w:p w14:paraId="43D79D78">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本站按监控子站设计了监控系统</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设一套微机监控系统</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全站所有的继电保护均按微机保护型配置</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另本站设一套遥视系统</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能向各级调度传送遥信、遥测、遥控、遥调等信息。因此</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可及时发现问题</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避免事故发生。</w:t>
            </w:r>
          </w:p>
          <w:p w14:paraId="130966E3">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在消防措施方面</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本站采用自动报警系统</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将信号集中送至调度中心控制</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主变压器采用自动报警系统</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电容器设备间采用七氟炳烷气体灭火系统</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其余电气间均设置温感、烟感自动报警系统。本项目杆塔、基础的设计、导线和地线的结构和物理参数的选用都按规范进行</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线路污秽等级合理</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导线悬垂绝缘子串、爬距的选用合适</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导线和地线均采用国家标准型防震锤</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导线、地线在与公路、送电线路、一二级公路等重要交叉档没有接头</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为线路的持久、安全运行打下了牢固的基础</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本架空送电线路的设计有防止风暴、防止雷击措施</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有效地避免因大风和雷击所引起的事故的发生</w:t>
            </w:r>
            <w:r>
              <w:rPr>
                <w:rFonts w:hint="eastAsia" w:ascii="Times New Roman" w:hAnsi="Times New Roman" w:eastAsia="宋体" w:cs="Times New Roman"/>
                <w:snapToGrid/>
                <w:color w:val="000000"/>
                <w:kern w:val="0"/>
                <w:sz w:val="24"/>
                <w:szCs w:val="24"/>
                <w:lang w:val="en-US" w:eastAsia="zh-CN" w:bidi="ar-SA"/>
              </w:rPr>
              <w:t>。</w:t>
            </w:r>
          </w:p>
          <w:p w14:paraId="056BA344">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p>
          <w:p w14:paraId="1D91BF05">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p>
          <w:p w14:paraId="6C0D9E52">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p>
          <w:p w14:paraId="0AF3F449">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snapToGrid/>
                <w:color w:val="000000"/>
                <w:kern w:val="0"/>
                <w:sz w:val="24"/>
                <w:szCs w:val="24"/>
                <w:lang w:val="en-US" w:eastAsia="zh-CN" w:bidi="ar-SA"/>
              </w:rPr>
            </w:pPr>
          </w:p>
          <w:p w14:paraId="100B4D12">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snapToGrid/>
                <w:color w:val="000000"/>
                <w:kern w:val="0"/>
                <w:sz w:val="24"/>
                <w:szCs w:val="24"/>
                <w:lang w:val="en-US" w:eastAsia="zh-CN" w:bidi="ar-SA"/>
              </w:rPr>
            </w:pPr>
          </w:p>
          <w:p w14:paraId="25E6817B">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snapToGrid/>
                <w:color w:val="000000"/>
                <w:kern w:val="0"/>
                <w:sz w:val="24"/>
                <w:szCs w:val="24"/>
                <w:lang w:val="en-US" w:eastAsia="zh-CN" w:bidi="ar-SA"/>
              </w:rPr>
            </w:pPr>
          </w:p>
          <w:p w14:paraId="1EA4F1EF">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snapToGrid/>
                <w:color w:val="000000"/>
                <w:kern w:val="0"/>
                <w:sz w:val="24"/>
                <w:szCs w:val="24"/>
                <w:lang w:val="en-US" w:eastAsia="zh-CN" w:bidi="ar-SA"/>
              </w:rPr>
            </w:pPr>
          </w:p>
          <w:p w14:paraId="53679659">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snapToGrid/>
                <w:color w:val="000000"/>
                <w:kern w:val="0"/>
                <w:sz w:val="24"/>
                <w:szCs w:val="24"/>
                <w:lang w:val="en-US" w:eastAsia="zh-CN" w:bidi="ar-SA"/>
              </w:rPr>
            </w:pPr>
          </w:p>
          <w:p w14:paraId="63F8302F">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snapToGrid/>
                <w:color w:val="000000"/>
                <w:kern w:val="0"/>
                <w:sz w:val="24"/>
                <w:szCs w:val="24"/>
                <w:lang w:val="en-US" w:eastAsia="zh-CN" w:bidi="ar-SA"/>
              </w:rPr>
            </w:pPr>
          </w:p>
          <w:p w14:paraId="1412CFA6">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snapToGrid/>
                <w:color w:val="000000"/>
                <w:kern w:val="0"/>
                <w:sz w:val="24"/>
                <w:szCs w:val="24"/>
                <w:lang w:val="en-US" w:eastAsia="zh-CN" w:bidi="ar-SA"/>
              </w:rPr>
            </w:pPr>
          </w:p>
          <w:p w14:paraId="3E712B22">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snapToGrid/>
                <w:color w:val="000000"/>
                <w:kern w:val="0"/>
                <w:sz w:val="24"/>
                <w:szCs w:val="24"/>
                <w:lang w:val="en-US" w:eastAsia="zh-CN" w:bidi="ar-SA"/>
              </w:rPr>
            </w:pPr>
          </w:p>
          <w:p w14:paraId="01F83B5B">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snapToGrid/>
                <w:color w:val="000000"/>
                <w:kern w:val="0"/>
                <w:sz w:val="24"/>
                <w:szCs w:val="24"/>
                <w:lang w:val="en-US" w:eastAsia="zh-CN" w:bidi="ar-SA"/>
              </w:rPr>
            </w:pPr>
          </w:p>
          <w:p w14:paraId="6B9922B1">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napToGrid/>
                <w:color w:val="000000"/>
                <w:kern w:val="0"/>
                <w:sz w:val="24"/>
                <w:szCs w:val="24"/>
                <w:lang w:val="en-US" w:eastAsia="zh-CN" w:bidi="ar-SA"/>
              </w:rPr>
            </w:pPr>
          </w:p>
        </w:tc>
      </w:tr>
    </w:tbl>
    <w:p w14:paraId="5CAB046E">
      <w:pPr>
        <w:rPr>
          <w:rFonts w:ascii="Arial"/>
          <w:sz w:val="21"/>
        </w:rPr>
      </w:pPr>
    </w:p>
    <w:p w14:paraId="42708DFD">
      <w:pPr>
        <w:sectPr>
          <w:headerReference r:id="rId16" w:type="default"/>
          <w:footerReference r:id="rId17" w:type="default"/>
          <w:pgSz w:w="11905" w:h="16838"/>
          <w:pgMar w:top="1440" w:right="1803" w:bottom="1440" w:left="1803" w:header="1457" w:footer="992" w:gutter="0"/>
          <w:pgBorders>
            <w:top w:val="none" w:sz="0" w:space="0"/>
            <w:left w:val="none" w:sz="0" w:space="0"/>
            <w:bottom w:val="none" w:sz="0" w:space="0"/>
            <w:right w:val="none" w:sz="0" w:space="0"/>
          </w:pgBorders>
          <w:pgNumType w:fmt="decimal"/>
          <w:cols w:space="0" w:num="1"/>
          <w:rtlGutter w:val="0"/>
          <w:docGrid w:linePitch="0" w:charSpace="0"/>
        </w:sectPr>
      </w:pPr>
    </w:p>
    <w:p w14:paraId="7AF7BCAF">
      <w:pPr>
        <w:widowControl/>
        <w:kinsoku/>
        <w:autoSpaceDE/>
        <w:autoSpaceDN/>
        <w:adjustRightInd/>
        <w:snapToGrid/>
        <w:spacing w:line="240" w:lineRule="auto"/>
        <w:jc w:val="center"/>
        <w:textAlignment w:val="auto"/>
        <w:rPr>
          <w:rFonts w:hint="default" w:ascii="Times New Roman" w:hAnsi="Times New Roman" w:eastAsia="黑体" w:cs="Times New Roman"/>
          <w:b/>
          <w:bCs/>
          <w:snapToGrid/>
          <w:color w:val="000000"/>
          <w:kern w:val="0"/>
          <w:sz w:val="28"/>
          <w:szCs w:val="28"/>
          <w:lang w:val="en-US" w:eastAsia="zh-CN" w:bidi="ar-SA"/>
        </w:rPr>
      </w:pPr>
      <w:r>
        <w:rPr>
          <w:rFonts w:hint="default" w:ascii="Times New Roman" w:hAnsi="Times New Roman" w:eastAsia="黑体" w:cs="Times New Roman"/>
          <w:b/>
          <w:bCs/>
          <w:snapToGrid/>
          <w:color w:val="000000"/>
          <w:kern w:val="0"/>
          <w:sz w:val="28"/>
          <w:szCs w:val="28"/>
          <w:lang w:val="en-US" w:eastAsia="zh-CN" w:bidi="ar-SA"/>
        </w:rPr>
        <w:t>表9环境管理及监测计划</w:t>
      </w:r>
    </w:p>
    <w:p w14:paraId="5CD73CB2">
      <w:pPr>
        <w:spacing w:line="89" w:lineRule="exact"/>
      </w:pPr>
    </w:p>
    <w:tbl>
      <w:tblPr>
        <w:tblStyle w:val="16"/>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8329"/>
      </w:tblGrid>
      <w:tr w14:paraId="2C6C0FD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367" w:hRule="atLeast"/>
        </w:trPr>
        <w:tc>
          <w:tcPr>
            <w:tcW w:w="5000" w:type="pct"/>
            <w:tcBorders>
              <w:tl2br w:val="nil"/>
              <w:tr2bl w:val="nil"/>
            </w:tcBorders>
            <w:vAlign w:val="top"/>
          </w:tcPr>
          <w:p w14:paraId="56913910">
            <w:pPr>
              <w:widowControl/>
              <w:kinsoku/>
              <w:autoSpaceDE/>
              <w:autoSpaceDN/>
              <w:adjustRightInd/>
              <w:snapToGrid/>
              <w:spacing w:line="240" w:lineRule="auto"/>
              <w:jc w:val="left"/>
              <w:textAlignment w:val="auto"/>
              <w:rPr>
                <w:rFonts w:hint="eastAsia"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环境管理机构设置</w:t>
            </w:r>
            <w:r>
              <w:rPr>
                <w:rFonts w:hint="eastAsia" w:ascii="Times New Roman" w:hAnsi="Times New Roman" w:eastAsia="宋体" w:cs="Times New Roman"/>
                <w:b/>
                <w:bCs/>
                <w:snapToGrid/>
                <w:color w:val="000000"/>
                <w:kern w:val="0"/>
                <w:sz w:val="24"/>
                <w:szCs w:val="24"/>
                <w:lang w:val="en-US" w:eastAsia="zh-CN" w:bidi="ar-SA"/>
              </w:rPr>
              <w:t>（</w:t>
            </w:r>
            <w:r>
              <w:rPr>
                <w:rFonts w:hint="default" w:ascii="Times New Roman" w:hAnsi="Times New Roman" w:eastAsia="宋体" w:cs="Times New Roman"/>
                <w:b/>
                <w:bCs/>
                <w:snapToGrid/>
                <w:color w:val="000000"/>
                <w:kern w:val="0"/>
                <w:sz w:val="24"/>
                <w:szCs w:val="24"/>
                <w:lang w:val="en-US" w:eastAsia="zh-CN" w:bidi="ar-SA"/>
              </w:rPr>
              <w:t>分施工期和环境保护设施调试期</w:t>
            </w:r>
            <w:r>
              <w:rPr>
                <w:rFonts w:hint="eastAsia" w:ascii="Times New Roman" w:hAnsi="Times New Roman" w:eastAsia="宋体" w:cs="Times New Roman"/>
                <w:b/>
                <w:bCs/>
                <w:snapToGrid/>
                <w:color w:val="000000"/>
                <w:kern w:val="0"/>
                <w:sz w:val="24"/>
                <w:szCs w:val="24"/>
                <w:lang w:val="en-US" w:eastAsia="zh-CN" w:bidi="ar-SA"/>
              </w:rPr>
              <w:t>）</w:t>
            </w:r>
          </w:p>
          <w:p w14:paraId="4AF7F45A">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宋体" w:cs="Times New Roman"/>
                <w:b/>
                <w:bCs/>
                <w:snapToGrid/>
                <w:color w:val="000000"/>
                <w:kern w:val="0"/>
                <w:sz w:val="24"/>
                <w:szCs w:val="24"/>
                <w:lang w:val="en-US" w:eastAsia="zh-CN" w:bidi="ar-SA"/>
              </w:rPr>
            </w:pPr>
            <w:r>
              <w:rPr>
                <w:rFonts w:hint="eastAsia" w:ascii="Times New Roman" w:hAnsi="Times New Roman" w:eastAsia="宋体" w:cs="Times New Roman"/>
                <w:b/>
                <w:bCs/>
                <w:snapToGrid/>
                <w:color w:val="000000"/>
                <w:kern w:val="0"/>
                <w:sz w:val="24"/>
                <w:szCs w:val="24"/>
                <w:lang w:val="en-US" w:eastAsia="zh-CN" w:bidi="ar-SA"/>
              </w:rPr>
              <w:t>1、施工期</w:t>
            </w:r>
          </w:p>
          <w:p w14:paraId="1F8EEB10">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auto"/>
                <w:kern w:val="0"/>
                <w:sz w:val="24"/>
                <w:szCs w:val="24"/>
                <w:lang w:val="en-US" w:eastAsia="zh-CN" w:bidi="ar-SA"/>
              </w:rPr>
            </w:pPr>
            <w:r>
              <w:rPr>
                <w:rFonts w:hint="eastAsia" w:ascii="Times New Roman" w:hAnsi="Times New Roman" w:eastAsia="宋体" w:cs="Times New Roman"/>
                <w:snapToGrid/>
                <w:color w:val="auto"/>
                <w:kern w:val="0"/>
                <w:sz w:val="24"/>
                <w:szCs w:val="24"/>
                <w:lang w:val="en-US" w:eastAsia="zh-CN" w:bidi="ar-SA"/>
              </w:rPr>
              <w:t>施工期的环境管理由施工单位安丰电力建设集团有限公司，监理单位湖北铭远至诚项目管理有限公司，建设单位颍上绿动风电有限公司共同负责。施工单位对施工期间环境保护工作负具体管理责任，颍上绿动风电有限公司工程建设部对工程施工单位环境保护管理工作负责监督管理责任。</w:t>
            </w:r>
          </w:p>
          <w:p w14:paraId="7D1ED303">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宋体" w:cs="Times New Roman"/>
                <w:b/>
                <w:bCs/>
                <w:snapToGrid/>
                <w:color w:val="000000"/>
                <w:kern w:val="0"/>
                <w:sz w:val="24"/>
                <w:szCs w:val="24"/>
                <w:lang w:val="en-US" w:eastAsia="zh-CN" w:bidi="ar-SA"/>
              </w:rPr>
            </w:pPr>
            <w:r>
              <w:rPr>
                <w:rFonts w:hint="eastAsia" w:ascii="Times New Roman" w:hAnsi="Times New Roman" w:eastAsia="宋体" w:cs="Times New Roman"/>
                <w:b/>
                <w:bCs/>
                <w:snapToGrid/>
                <w:color w:val="000000"/>
                <w:kern w:val="0"/>
                <w:sz w:val="24"/>
                <w:szCs w:val="24"/>
                <w:lang w:val="en-US" w:eastAsia="zh-CN" w:bidi="ar-SA"/>
              </w:rPr>
              <w:t>2、运行期</w:t>
            </w:r>
          </w:p>
          <w:p w14:paraId="07735F46">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运行期环境保护工作由颍上绿动风电有限公司负责。</w:t>
            </w:r>
          </w:p>
          <w:p w14:paraId="18CFFCE6">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颍上绿动风电有限公司环境保护管理主要职责如下：</w:t>
            </w:r>
          </w:p>
          <w:p w14:paraId="31B0BDD9">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（1）贯彻落实国家环境保护法律、法规、标准要求，做好升压站日常环境保护监督管理。</w:t>
            </w:r>
          </w:p>
          <w:p w14:paraId="78CC50D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（2）监督检查升压站电气设备、污染防治设施维护、巡查制度的落实。</w:t>
            </w:r>
          </w:p>
          <w:p w14:paraId="2A061D0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（3）监督环保问题整改。</w:t>
            </w:r>
          </w:p>
          <w:p w14:paraId="18612AF1">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（4）组织环境保护突发事故应急演练和消防应急演练。</w:t>
            </w:r>
          </w:p>
        </w:tc>
      </w:tr>
      <w:tr w14:paraId="4BB08D1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330" w:hRule="atLeast"/>
        </w:trPr>
        <w:tc>
          <w:tcPr>
            <w:tcW w:w="5000" w:type="pct"/>
            <w:tcBorders>
              <w:tl2br w:val="nil"/>
              <w:tr2bl w:val="nil"/>
            </w:tcBorders>
            <w:vAlign w:val="top"/>
          </w:tcPr>
          <w:p w14:paraId="53FDBC21">
            <w:pPr>
              <w:widowControl/>
              <w:kinsoku/>
              <w:autoSpaceDE/>
              <w:autoSpaceDN/>
              <w:adjustRightInd/>
              <w:snapToGrid/>
              <w:spacing w:line="360" w:lineRule="auto"/>
              <w:jc w:val="left"/>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环境监测计划落实情况及环境保护档案管理情况</w:t>
            </w:r>
          </w:p>
          <w:p w14:paraId="3146EDA4">
            <w:pPr>
              <w:widowControl/>
              <w:kinsoku/>
              <w:autoSpaceDE/>
              <w:autoSpaceDN/>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w:t>
            </w:r>
            <w:r>
              <w:rPr>
                <w:rFonts w:hint="eastAsia" w:ascii="Times New Roman" w:hAnsi="Times New Roman" w:eastAsia="宋体" w:cs="Times New Roman"/>
                <w:snapToGrid/>
                <w:color w:val="000000"/>
                <w:kern w:val="0"/>
                <w:sz w:val="24"/>
                <w:szCs w:val="24"/>
                <w:lang w:val="en-US" w:eastAsia="zh-CN" w:bidi="ar-SA"/>
              </w:rPr>
              <w:t>颍上绿动风电有限公司颍上绿动风电场项目（110kV升压站电磁环境影响评价）</w:t>
            </w:r>
            <w:r>
              <w:rPr>
                <w:rFonts w:hint="default" w:ascii="Times New Roman" w:hAnsi="Times New Roman" w:eastAsia="宋体" w:cs="Times New Roman"/>
                <w:snapToGrid/>
                <w:color w:val="000000"/>
                <w:kern w:val="0"/>
                <w:sz w:val="24"/>
                <w:szCs w:val="24"/>
                <w:lang w:val="en-US" w:eastAsia="zh-CN" w:bidi="ar-SA"/>
              </w:rPr>
              <w:t>环境影响报告表》明确提出</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项目建成投入试运行后</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须开展竣工环境保护验收</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经验收合格后方可投入正式运行。本次验收调查监测落实了该项目环境影响报告表提出的监测计划。建设单位建有档案室配备了档案专业管理人员</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制定了档案管理规章制度</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由档案室负责统一管理本单位的全部档案。</w:t>
            </w:r>
          </w:p>
          <w:p w14:paraId="20B827CA">
            <w:pPr>
              <w:widowControl/>
              <w:kinsoku/>
              <w:autoSpaceDE/>
              <w:autoSpaceDN/>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档案室在管理中贯彻执行国家环境保护的方针、政策和法规</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建立与健全各项环保规章制度</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负责积累、整理、归档与本工程环境保护有关的原始记录</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环境保护工作情况总结等。</w:t>
            </w:r>
          </w:p>
          <w:p w14:paraId="7AFCF85A">
            <w:pPr>
              <w:widowControl/>
              <w:kinsoku/>
              <w:autoSpaceDE/>
              <w:autoSpaceDN/>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环境保护档案</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分别以纸质及电子版本进行存档</w:t>
            </w:r>
            <w:r>
              <w:rPr>
                <w:rFonts w:hint="eastAsia" w:ascii="Times New Roman" w:hAnsi="Times New Roman" w:eastAsia="宋体" w:cs="Times New Roman"/>
                <w:snapToGrid/>
                <w:color w:val="000000"/>
                <w:kern w:val="0"/>
                <w:sz w:val="24"/>
                <w:szCs w:val="24"/>
                <w:lang w:val="en-US" w:eastAsia="zh-CN" w:bidi="ar-SA"/>
              </w:rPr>
              <w:t>，</w:t>
            </w:r>
            <w:r>
              <w:rPr>
                <w:rFonts w:hint="default" w:ascii="Times New Roman" w:hAnsi="Times New Roman" w:eastAsia="宋体" w:cs="Times New Roman"/>
                <w:snapToGrid/>
                <w:color w:val="000000"/>
                <w:kern w:val="0"/>
                <w:sz w:val="24"/>
                <w:szCs w:val="24"/>
                <w:lang w:val="en-US" w:eastAsia="zh-CN" w:bidi="ar-SA"/>
              </w:rPr>
              <w:t>可以保证环境保护档案的完整、准确、系统、安全和有效利用</w:t>
            </w:r>
            <w:r>
              <w:rPr>
                <w:rFonts w:hint="eastAsia" w:ascii="Times New Roman" w:hAnsi="Times New Roman" w:eastAsia="宋体" w:cs="Times New Roman"/>
                <w:snapToGrid/>
                <w:color w:val="000000"/>
                <w:kern w:val="0"/>
                <w:sz w:val="24"/>
                <w:szCs w:val="24"/>
                <w:lang w:val="en-US" w:eastAsia="zh-CN" w:bidi="ar-SA"/>
              </w:rPr>
              <w:t>。</w:t>
            </w:r>
          </w:p>
        </w:tc>
      </w:tr>
      <w:tr w14:paraId="15D4279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366" w:hRule="atLeast"/>
        </w:trPr>
        <w:tc>
          <w:tcPr>
            <w:tcW w:w="5000" w:type="pct"/>
            <w:tcBorders>
              <w:tl2br w:val="nil"/>
              <w:tr2bl w:val="nil"/>
            </w:tcBorders>
            <w:vAlign w:val="top"/>
          </w:tcPr>
          <w:p w14:paraId="7234302B">
            <w:pPr>
              <w:widowControl/>
              <w:kinsoku/>
              <w:autoSpaceDE/>
              <w:autoSpaceDN/>
              <w:adjustRightInd/>
              <w:snapToGrid/>
              <w:spacing w:line="360" w:lineRule="auto"/>
              <w:jc w:val="left"/>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环境管理状况分析</w:t>
            </w:r>
          </w:p>
          <w:p w14:paraId="60F06762">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（1）建设单位设置了环境管理组织机构。施工期，施工单位和建设单位均安排了专职环境保护管理人员。</w:t>
            </w:r>
          </w:p>
          <w:p w14:paraId="29047DF9">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（2）制定环境管理制度和应急预案。制订了环境保护、文明生产工作专项考核制度和《变电站突发环境事件应急预案》。</w:t>
            </w:r>
          </w:p>
          <w:p w14:paraId="31AC45A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（3）加强环保工作管理。项目建设落实了环境影响评价制度和环境保护“三同时”制度。有关环境保护管理规章制度落实较好，从而避免了项目建设造成生态破坏和环境污染事故的发生。</w:t>
            </w:r>
          </w:p>
          <w:p w14:paraId="48E6A7A4">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（4）环境保护资料及时归档。工程选址、可行性研究、环境影响评价、设计文件及其批复等资料均已成册归档。</w:t>
            </w:r>
          </w:p>
          <w:p w14:paraId="3248F47F">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建设单位在本工程建设过程中严格执行了建设项目中环境保护设施必须与主体工程同步设计、同时施工、同时投产使用的“三同时”制度。</w:t>
            </w:r>
          </w:p>
          <w:p w14:paraId="1FFAAA51">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p>
          <w:p w14:paraId="4B1680E9">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p>
          <w:p w14:paraId="5D8D1C25">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p>
          <w:p w14:paraId="15CF07C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p>
          <w:p w14:paraId="4E756A60">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p>
          <w:p w14:paraId="67AB02A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p>
          <w:p w14:paraId="30D5BD97">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p>
          <w:p w14:paraId="75B15557">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p>
          <w:p w14:paraId="554BAC21">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p>
          <w:p w14:paraId="383830D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p>
          <w:p w14:paraId="2CB753A2">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p>
          <w:p w14:paraId="06E733E1">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p>
          <w:p w14:paraId="03DD61BC">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p>
          <w:p w14:paraId="0D7906C5">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p>
          <w:p w14:paraId="3D9B7542">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p>
          <w:p w14:paraId="08A0D021">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p>
          <w:p w14:paraId="27876BC1">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p>
          <w:p w14:paraId="6BC78F64">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color w:val="000000"/>
                <w:kern w:val="0"/>
                <w:sz w:val="24"/>
                <w:szCs w:val="24"/>
                <w:lang w:val="en-US" w:eastAsia="zh-CN" w:bidi="ar-SA"/>
              </w:rPr>
            </w:pPr>
          </w:p>
          <w:p w14:paraId="5C6CF44F">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p>
        </w:tc>
      </w:tr>
    </w:tbl>
    <w:p w14:paraId="429171D3">
      <w:pPr>
        <w:spacing w:line="130" w:lineRule="exact"/>
        <w:rPr>
          <w:rFonts w:ascii="Arial"/>
          <w:sz w:val="11"/>
        </w:rPr>
      </w:pPr>
    </w:p>
    <w:p w14:paraId="47F47B30">
      <w:pPr>
        <w:sectPr>
          <w:headerReference r:id="rId18" w:type="default"/>
          <w:footerReference r:id="rId19" w:type="default"/>
          <w:pgSz w:w="11905" w:h="16838"/>
          <w:pgMar w:top="1440" w:right="1803" w:bottom="1440" w:left="1803" w:header="1457" w:footer="992" w:gutter="0"/>
          <w:pgBorders>
            <w:top w:val="none" w:sz="0" w:space="0"/>
            <w:left w:val="none" w:sz="0" w:space="0"/>
            <w:bottom w:val="none" w:sz="0" w:space="0"/>
            <w:right w:val="none" w:sz="0" w:space="0"/>
          </w:pgBorders>
          <w:pgNumType w:fmt="decimal"/>
          <w:cols w:space="0" w:num="1"/>
          <w:rtlGutter w:val="0"/>
          <w:docGrid w:linePitch="0" w:charSpace="0"/>
        </w:sectPr>
      </w:pPr>
    </w:p>
    <w:p w14:paraId="059C65DF">
      <w:pPr>
        <w:widowControl/>
        <w:kinsoku/>
        <w:autoSpaceDE/>
        <w:autoSpaceDN/>
        <w:adjustRightInd/>
        <w:snapToGrid/>
        <w:spacing w:line="240" w:lineRule="auto"/>
        <w:jc w:val="center"/>
        <w:textAlignment w:val="auto"/>
        <w:rPr>
          <w:rFonts w:hint="default" w:ascii="Times New Roman" w:hAnsi="Times New Roman" w:eastAsia="黑体" w:cs="Times New Roman"/>
          <w:b/>
          <w:bCs/>
          <w:snapToGrid/>
          <w:color w:val="000000"/>
          <w:kern w:val="0"/>
          <w:sz w:val="28"/>
          <w:szCs w:val="28"/>
          <w:lang w:val="en-US" w:eastAsia="zh-CN" w:bidi="ar-SA"/>
        </w:rPr>
      </w:pPr>
      <w:r>
        <w:rPr>
          <w:rFonts w:hint="default" w:ascii="Times New Roman" w:hAnsi="Times New Roman" w:eastAsia="黑体" w:cs="Times New Roman"/>
          <w:b/>
          <w:bCs/>
          <w:snapToGrid/>
          <w:color w:val="000000"/>
          <w:kern w:val="0"/>
          <w:sz w:val="28"/>
          <w:szCs w:val="28"/>
          <w:lang w:val="en-US" w:eastAsia="zh-CN" w:bidi="ar-SA"/>
        </w:rPr>
        <w:t>表10竣工环境保护验收调查结论与建议</w:t>
      </w:r>
    </w:p>
    <w:p w14:paraId="1A20E216">
      <w:pPr>
        <w:spacing w:line="90" w:lineRule="exact"/>
      </w:pPr>
    </w:p>
    <w:tbl>
      <w:tblPr>
        <w:tblStyle w:val="16"/>
        <w:tblW w:w="5018"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8359"/>
      </w:tblGrid>
      <w:tr w14:paraId="71603F3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778" w:hRule="atLeast"/>
        </w:trPr>
        <w:tc>
          <w:tcPr>
            <w:tcW w:w="5000" w:type="pct"/>
            <w:tcBorders>
              <w:tl2br w:val="nil"/>
              <w:tr2bl w:val="nil"/>
            </w:tcBorders>
            <w:vAlign w:val="top"/>
          </w:tcPr>
          <w:p w14:paraId="32516799">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调查结论</w:t>
            </w:r>
          </w:p>
          <w:p w14:paraId="75CA8E14">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通过对颍上绿动风电有限公司颍上绿动风电场项目（110kV升压站电磁环境影响评价）竣工环境保护验收监测与调查，可以得出以下主要结论：</w:t>
            </w:r>
          </w:p>
          <w:p w14:paraId="65769017">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1、验收工程基本情况</w:t>
            </w:r>
          </w:p>
          <w:p w14:paraId="27534575">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颍上绿动风电有限公司颍上绿动风电场项目（110kV升压站电磁环境影响评价）位于安徽省阜阳市颍上县江店孜镇坡杨路东侧。</w:t>
            </w:r>
          </w:p>
          <w:p w14:paraId="01D6F23F">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auto"/>
                <w:kern w:val="0"/>
                <w:sz w:val="24"/>
                <w:szCs w:val="24"/>
                <w:lang w:val="en-US" w:eastAsia="zh-CN" w:bidi="ar-SA"/>
              </w:rPr>
            </w:pPr>
            <w:r>
              <w:rPr>
                <w:rFonts w:hint="default" w:ascii="Times New Roman" w:hAnsi="Times New Roman" w:eastAsia="宋体" w:cs="Times New Roman"/>
                <w:snapToGrid/>
                <w:color w:val="auto"/>
                <w:kern w:val="0"/>
                <w:sz w:val="24"/>
                <w:szCs w:val="24"/>
                <w:lang w:val="en-US" w:eastAsia="zh-CN" w:bidi="ar-SA"/>
              </w:rPr>
              <w:t>新建一座110kV升压站，站内设有1台容量为100MVA的主变，户外GIS布置，升压站110kV侧采用线路-变压器组接线方式。项目送出系统拟采用1回110kV线路架空送出，110kV送出线路工程不在本次评价范围内。</w:t>
            </w:r>
          </w:p>
          <w:p w14:paraId="6B9031FC">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实际总投资</w:t>
            </w:r>
            <w:r>
              <w:rPr>
                <w:rFonts w:hint="eastAsia" w:ascii="Times New Roman" w:hAnsi="Times New Roman" w:eastAsia="宋体" w:cs="Times New Roman"/>
                <w:snapToGrid/>
                <w:color w:val="000000"/>
                <w:kern w:val="0"/>
                <w:sz w:val="24"/>
                <w:szCs w:val="24"/>
                <w:lang w:val="en-US" w:eastAsia="zh-CN" w:bidi="ar-SA"/>
              </w:rPr>
              <w:t>1</w:t>
            </w:r>
            <w:r>
              <w:rPr>
                <w:rFonts w:hint="default" w:ascii="Times New Roman" w:hAnsi="Times New Roman" w:eastAsia="宋体" w:cs="Times New Roman"/>
                <w:snapToGrid/>
                <w:color w:val="000000"/>
                <w:kern w:val="0"/>
                <w:sz w:val="24"/>
                <w:szCs w:val="24"/>
                <w:lang w:val="en-US" w:eastAsia="zh-CN" w:bidi="ar-SA"/>
              </w:rPr>
              <w:t>2000万元，其中环保投资62万元，环保投资比例0.</w:t>
            </w:r>
            <w:r>
              <w:rPr>
                <w:rFonts w:hint="eastAsia" w:ascii="Times New Roman" w:hAnsi="Times New Roman" w:eastAsia="宋体" w:cs="Times New Roman"/>
                <w:snapToGrid/>
                <w:color w:val="000000"/>
                <w:kern w:val="0"/>
                <w:sz w:val="24"/>
                <w:szCs w:val="24"/>
                <w:lang w:val="en-US" w:eastAsia="zh-CN" w:bidi="ar-SA"/>
              </w:rPr>
              <w:t>52</w:t>
            </w:r>
            <w:r>
              <w:rPr>
                <w:rFonts w:hint="default" w:ascii="Times New Roman" w:hAnsi="Times New Roman" w:eastAsia="宋体" w:cs="Times New Roman"/>
                <w:snapToGrid/>
                <w:color w:val="000000"/>
                <w:kern w:val="0"/>
                <w:sz w:val="24"/>
                <w:szCs w:val="24"/>
                <w:lang w:val="en-US" w:eastAsia="zh-CN" w:bidi="ar-SA"/>
              </w:rPr>
              <w:t>%。</w:t>
            </w:r>
          </w:p>
          <w:p w14:paraId="2F8D468B">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2023年6月工程开工建设，2024年8月竣工投产。</w:t>
            </w:r>
          </w:p>
          <w:p w14:paraId="1A836BC6">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2、环境保护措施落实情况</w:t>
            </w:r>
          </w:p>
          <w:p w14:paraId="3B22FC41">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该工程建设过程中，执行了环境影响评价制度和环境保护“三同时”制度。工程施工、运行阶段的污染防治措施和生态保护措施按照环境影响报告表和环评批复的要求得到落实。</w:t>
            </w:r>
          </w:p>
          <w:p w14:paraId="6AB14F33">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3、生态环境影响</w:t>
            </w:r>
          </w:p>
          <w:p w14:paraId="4154B754">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本工程采取了有效的生态保护措施。站区进行了绿化，起到了较好的美化效果，施工临时占地及周围植被已经恢复。工程建设未造成明显的生态影响。</w:t>
            </w:r>
          </w:p>
          <w:p w14:paraId="2D1044B9">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eastAsia="宋体" w:cs="Times New Roman"/>
                <w:snapToGrid/>
                <w:color w:val="auto"/>
                <w:kern w:val="0"/>
                <w:sz w:val="24"/>
                <w:szCs w:val="24"/>
                <w:lang w:val="en-US" w:eastAsia="zh-CN" w:bidi="ar-SA"/>
              </w:rPr>
            </w:pPr>
            <w:r>
              <w:rPr>
                <w:rFonts w:hint="default" w:ascii="Times New Roman" w:hAnsi="Times New Roman" w:eastAsia="宋体" w:cs="Times New Roman"/>
                <w:b/>
                <w:bCs/>
                <w:snapToGrid/>
                <w:color w:val="auto"/>
                <w:kern w:val="0"/>
                <w:sz w:val="24"/>
                <w:szCs w:val="24"/>
                <w:lang w:val="en-US" w:eastAsia="zh-CN" w:bidi="ar-SA"/>
              </w:rPr>
              <w:t>4、电磁环境影响</w:t>
            </w:r>
          </w:p>
          <w:p w14:paraId="73785474">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auto"/>
                <w:kern w:val="0"/>
                <w:sz w:val="24"/>
                <w:szCs w:val="24"/>
                <w:lang w:val="en-US" w:eastAsia="zh-CN" w:bidi="ar-SA"/>
              </w:rPr>
            </w:pPr>
            <w:r>
              <w:rPr>
                <w:rFonts w:hint="default" w:ascii="Times New Roman" w:hAnsi="Times New Roman" w:eastAsia="宋体" w:cs="Times New Roman"/>
                <w:snapToGrid/>
                <w:color w:val="auto"/>
                <w:kern w:val="0"/>
                <w:sz w:val="24"/>
                <w:szCs w:val="24"/>
                <w:lang w:val="en-US" w:eastAsia="zh-CN" w:bidi="ar-SA"/>
              </w:rPr>
              <w:t>根据监测结果可知：本工程在正常运行工况下，</w:t>
            </w:r>
            <w:r>
              <w:rPr>
                <w:rFonts w:hint="eastAsia" w:ascii="Times New Roman" w:hAnsi="Times New Roman" w:eastAsia="宋体" w:cs="Times New Roman"/>
                <w:snapToGrid/>
                <w:color w:val="auto"/>
                <w:kern w:val="0"/>
                <w:sz w:val="24"/>
                <w:szCs w:val="24"/>
                <w:lang w:val="en-US" w:eastAsia="zh-CN" w:bidi="ar-SA"/>
              </w:rPr>
              <w:t>升压</w:t>
            </w:r>
            <w:r>
              <w:rPr>
                <w:rFonts w:hint="default" w:ascii="Times New Roman" w:hAnsi="Times New Roman" w:eastAsia="宋体" w:cs="Times New Roman"/>
                <w:snapToGrid/>
                <w:color w:val="auto"/>
                <w:kern w:val="0"/>
                <w:sz w:val="24"/>
                <w:szCs w:val="24"/>
                <w:lang w:val="en-US" w:eastAsia="zh-CN" w:bidi="ar-SA"/>
              </w:rPr>
              <w:t>站边界监测点工频电场强度为2.6~40.5V/m，磁感应强度为0.016~0.031μT，满足《电磁环境控制限值》（GB8702-2014）表1中公众暴露限值，即频率50Hz对应的工频电场强度限值：4000V/m；工频磁感应强度限值：100μT。</w:t>
            </w:r>
          </w:p>
          <w:p w14:paraId="03C802CC">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auto"/>
                <w:kern w:val="0"/>
                <w:sz w:val="24"/>
                <w:szCs w:val="24"/>
                <w:lang w:val="en-US" w:eastAsia="zh-CN" w:bidi="ar-SA"/>
              </w:rPr>
            </w:pPr>
            <w:r>
              <w:rPr>
                <w:rFonts w:hint="default" w:ascii="Times New Roman" w:hAnsi="Times New Roman" w:eastAsia="宋体" w:cs="Times New Roman"/>
                <w:snapToGrid/>
                <w:color w:val="auto"/>
                <w:kern w:val="0"/>
                <w:sz w:val="24"/>
                <w:szCs w:val="24"/>
                <w:lang w:val="en-US" w:eastAsia="zh-CN" w:bidi="ar-SA"/>
              </w:rPr>
              <w:t>5、声环境影响</w:t>
            </w:r>
          </w:p>
          <w:p w14:paraId="1ED0E0CC">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auto"/>
                <w:kern w:val="0"/>
                <w:sz w:val="24"/>
                <w:szCs w:val="24"/>
                <w:lang w:val="en-US" w:eastAsia="zh-CN" w:bidi="ar-SA"/>
              </w:rPr>
            </w:pPr>
            <w:r>
              <w:rPr>
                <w:rFonts w:hint="default" w:ascii="Times New Roman" w:hAnsi="Times New Roman" w:eastAsia="宋体" w:cs="Times New Roman"/>
                <w:snapToGrid/>
                <w:color w:val="auto"/>
                <w:kern w:val="0"/>
                <w:sz w:val="24"/>
                <w:szCs w:val="24"/>
                <w:lang w:val="en-US" w:eastAsia="zh-CN" w:bidi="ar-SA"/>
              </w:rPr>
              <w:t>根据监测结果可知：本工程在正常运行工况下，升压站厂界昼间噪声为42~45dB（A），夜间噪声为40~43dB（A），符合《工业企业厂界环境噪声排放标准》（GB12348-2008）中2类标准：昼间：60dBA，夜间50dBA。</w:t>
            </w:r>
          </w:p>
          <w:p w14:paraId="70181FA8">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eastAsia="宋体" w:cs="Times New Roman"/>
                <w:b/>
                <w:bCs/>
                <w:snapToGrid/>
                <w:color w:val="000000"/>
                <w:kern w:val="0"/>
                <w:sz w:val="24"/>
                <w:szCs w:val="24"/>
                <w:lang w:val="en-US" w:eastAsia="zh-CN" w:bidi="ar-SA"/>
              </w:rPr>
            </w:pPr>
          </w:p>
          <w:p w14:paraId="465CD581">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6、水环境影响</w:t>
            </w:r>
          </w:p>
          <w:p w14:paraId="308E08E8">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eastAsia" w:ascii="Times New Roman" w:hAnsi="Times New Roman" w:eastAsia="宋体" w:cs="Times New Roman"/>
                <w:snapToGrid/>
                <w:color w:val="000000"/>
                <w:kern w:val="0"/>
                <w:sz w:val="24"/>
                <w:szCs w:val="24"/>
                <w:lang w:val="en-US" w:eastAsia="zh-CN" w:bidi="ar-SA"/>
              </w:rPr>
              <w:t>升压站</w:t>
            </w:r>
            <w:r>
              <w:rPr>
                <w:rFonts w:hint="default" w:ascii="Times New Roman" w:hAnsi="Times New Roman" w:eastAsia="宋体" w:cs="Times New Roman"/>
                <w:snapToGrid/>
                <w:color w:val="000000"/>
                <w:kern w:val="0"/>
                <w:sz w:val="24"/>
                <w:szCs w:val="24"/>
                <w:lang w:val="en-US" w:eastAsia="zh-CN" w:bidi="ar-SA"/>
              </w:rPr>
              <w:t>正常运行时无废水产生，生活污水经化粪池处理后定期清掏。</w:t>
            </w:r>
          </w:p>
          <w:p w14:paraId="747A8C43">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7、固体废物环境影响</w:t>
            </w:r>
          </w:p>
          <w:p w14:paraId="7236B7E6">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auto"/>
                <w:kern w:val="0"/>
                <w:sz w:val="24"/>
                <w:szCs w:val="24"/>
                <w:lang w:val="en-US" w:eastAsia="zh-CN" w:bidi="ar-SA"/>
              </w:rPr>
              <w:t>升压站</w:t>
            </w:r>
            <w:r>
              <w:rPr>
                <w:rFonts w:hint="default" w:ascii="Times New Roman" w:hAnsi="Times New Roman" w:eastAsia="宋体" w:cs="Times New Roman"/>
                <w:snapToGrid/>
                <w:color w:val="000000"/>
                <w:kern w:val="0"/>
                <w:sz w:val="24"/>
                <w:szCs w:val="24"/>
                <w:lang w:val="en-US" w:eastAsia="zh-CN" w:bidi="ar-SA"/>
              </w:rPr>
              <w:t>运行主要固体废物为变压器产生的废铅酸蓄电池、废变压器、废机油，由有资质的单位统一回处理，生活垃圾经垃圾桶收集后交由环卫部门统一清运。因此固体废物不会对环境造成二次污染。</w:t>
            </w:r>
          </w:p>
          <w:p w14:paraId="6DFDE7C3">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8、环境事故风险防范</w:t>
            </w:r>
          </w:p>
          <w:p w14:paraId="78BC8F30">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升压站建有事故油池，当变压器发生事故漏油时，被储存在事故油池内。事故油由有资质的单位回收，不外排。自运行以来，未发生过环境污染事故。</w:t>
            </w:r>
          </w:p>
          <w:p w14:paraId="62C9FA33">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9、环境管理及监测计划</w:t>
            </w:r>
          </w:p>
          <w:p w14:paraId="774EDAC0">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建设单位环境管理机构健全，环境管理制度和应急预案较完善，各相关机构和专职环保人员责任分工明确，本工程建设过程中严格执行了“建设项目中环境保护设施必须与主体工程同步设计、同时施工、同时投产使用”的“三同时”制度。</w:t>
            </w:r>
          </w:p>
          <w:p w14:paraId="1ADE2E7F">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r>
              <w:rPr>
                <w:rFonts w:hint="default" w:ascii="Times New Roman" w:hAnsi="Times New Roman" w:eastAsia="宋体" w:cs="Times New Roman"/>
                <w:snapToGrid/>
                <w:color w:val="000000"/>
                <w:kern w:val="0"/>
                <w:sz w:val="24"/>
                <w:szCs w:val="24"/>
                <w:lang w:val="en-US" w:eastAsia="zh-CN" w:bidi="ar-SA"/>
              </w:rPr>
              <w:t>在施工期和运行期落实了公司的各项环境管理制度，并按竣工环保验收管理要求委托开展了环境监测工作。</w:t>
            </w:r>
          </w:p>
          <w:p w14:paraId="7ED193F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snapToGrid/>
                <w:color w:val="000000"/>
                <w:kern w:val="0"/>
                <w:sz w:val="24"/>
                <w:szCs w:val="24"/>
                <w:lang w:val="en-US" w:eastAsia="zh-CN" w:bidi="ar-SA"/>
              </w:rPr>
            </w:pPr>
            <w:r>
              <w:rPr>
                <w:rFonts w:hint="default" w:ascii="Times New Roman" w:hAnsi="Times New Roman" w:eastAsia="宋体" w:cs="Times New Roman"/>
                <w:b w:val="0"/>
                <w:bCs w:val="0"/>
                <w:snapToGrid/>
                <w:color w:val="000000"/>
                <w:kern w:val="0"/>
                <w:sz w:val="24"/>
                <w:szCs w:val="24"/>
                <w:lang w:val="en-US" w:eastAsia="zh-CN" w:bidi="ar-SA"/>
              </w:rPr>
              <w:t>综上所述，本工程建设前期环境保护审查、审批手续完备。工程在设计、施工和运行期采取了有效的污染防治措施和生态保护措施，基本落实了环境影响报告表与环评批复中要求的环保措施，且工程各项环保设施运行良好，取得了较好的环境保护效果，工程建设和运行对环境的实际影响均满足相应标准，建议本工程通过竣工环境保护验收。</w:t>
            </w:r>
          </w:p>
          <w:p w14:paraId="4018FC17">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snapToGrid/>
                <w:color w:val="000000"/>
                <w:kern w:val="0"/>
                <w:sz w:val="24"/>
                <w:szCs w:val="24"/>
                <w:lang w:val="en-US" w:eastAsia="zh-CN" w:bidi="ar-SA"/>
              </w:rPr>
            </w:pPr>
          </w:p>
          <w:p w14:paraId="656D6F17">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snapToGrid/>
                <w:color w:val="000000"/>
                <w:kern w:val="0"/>
                <w:sz w:val="24"/>
                <w:szCs w:val="24"/>
                <w:lang w:val="en-US" w:eastAsia="zh-CN" w:bidi="ar-SA"/>
              </w:rPr>
            </w:pPr>
          </w:p>
          <w:p w14:paraId="7CBDACB6">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snapToGrid/>
                <w:color w:val="000000"/>
                <w:kern w:val="0"/>
                <w:sz w:val="24"/>
                <w:szCs w:val="24"/>
                <w:lang w:val="en-US" w:eastAsia="zh-CN" w:bidi="ar-SA"/>
              </w:rPr>
            </w:pPr>
          </w:p>
          <w:p w14:paraId="052B2EC7">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snapToGrid/>
                <w:color w:val="000000"/>
                <w:kern w:val="0"/>
                <w:sz w:val="24"/>
                <w:szCs w:val="24"/>
                <w:lang w:val="en-US" w:eastAsia="zh-CN" w:bidi="ar-SA"/>
              </w:rPr>
            </w:pPr>
          </w:p>
          <w:p w14:paraId="6CFB9999">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snapToGrid/>
                <w:color w:val="000000"/>
                <w:kern w:val="0"/>
                <w:sz w:val="24"/>
                <w:szCs w:val="24"/>
                <w:lang w:val="en-US" w:eastAsia="zh-CN" w:bidi="ar-SA"/>
              </w:rPr>
            </w:pPr>
          </w:p>
          <w:p w14:paraId="10682460">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snapToGrid/>
                <w:color w:val="000000"/>
                <w:kern w:val="0"/>
                <w:sz w:val="24"/>
                <w:szCs w:val="24"/>
                <w:lang w:val="en-US" w:eastAsia="zh-CN" w:bidi="ar-SA"/>
              </w:rPr>
            </w:pPr>
          </w:p>
          <w:p w14:paraId="1322D29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snapToGrid/>
                <w:color w:val="000000"/>
                <w:kern w:val="0"/>
                <w:sz w:val="24"/>
                <w:szCs w:val="24"/>
                <w:lang w:val="en-US" w:eastAsia="zh-CN" w:bidi="ar-SA"/>
              </w:rPr>
            </w:pPr>
          </w:p>
          <w:p w14:paraId="437CC1D3">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snapToGrid/>
                <w:color w:val="000000"/>
                <w:kern w:val="0"/>
                <w:sz w:val="24"/>
                <w:szCs w:val="24"/>
                <w:lang w:val="en-US" w:eastAsia="zh-CN" w:bidi="ar-SA"/>
              </w:rPr>
            </w:pPr>
          </w:p>
          <w:p w14:paraId="1A6B91D5">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napToGrid/>
                <w:color w:val="000000"/>
                <w:kern w:val="0"/>
                <w:sz w:val="24"/>
                <w:szCs w:val="24"/>
                <w:lang w:val="en-US" w:eastAsia="zh-CN" w:bidi="ar-SA"/>
              </w:rPr>
            </w:pPr>
          </w:p>
        </w:tc>
      </w:tr>
      <w:tr w14:paraId="22E9C24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329" w:hRule="atLeast"/>
        </w:trPr>
        <w:tc>
          <w:tcPr>
            <w:tcW w:w="5000" w:type="pct"/>
            <w:tcBorders>
              <w:tl2br w:val="nil"/>
              <w:tr2bl w:val="nil"/>
            </w:tcBorders>
            <w:vAlign w:val="top"/>
          </w:tcPr>
          <w:p w14:paraId="77D21209">
            <w:pPr>
              <w:widowControl/>
              <w:kinsoku/>
              <w:autoSpaceDE/>
              <w:autoSpaceDN/>
              <w:adjustRightInd/>
              <w:snapToGrid/>
              <w:spacing w:line="240" w:lineRule="auto"/>
              <w:jc w:val="left"/>
              <w:textAlignment w:val="auto"/>
              <w:rPr>
                <w:rFonts w:hint="default" w:ascii="Times New Roman" w:hAnsi="Times New Roman" w:eastAsia="宋体" w:cs="Times New Roman"/>
                <w:b/>
                <w:bCs/>
                <w:snapToGrid/>
                <w:color w:val="000000"/>
                <w:kern w:val="0"/>
                <w:sz w:val="24"/>
                <w:szCs w:val="24"/>
                <w:lang w:val="en-US" w:eastAsia="zh-CN" w:bidi="ar-SA"/>
              </w:rPr>
            </w:pPr>
            <w:r>
              <w:rPr>
                <w:rFonts w:hint="default" w:ascii="Times New Roman" w:hAnsi="Times New Roman" w:eastAsia="宋体" w:cs="Times New Roman"/>
                <w:b/>
                <w:bCs/>
                <w:snapToGrid/>
                <w:color w:val="000000"/>
                <w:kern w:val="0"/>
                <w:sz w:val="24"/>
                <w:szCs w:val="24"/>
                <w:lang w:val="en-US" w:eastAsia="zh-CN" w:bidi="ar-SA"/>
              </w:rPr>
              <w:t>建议</w:t>
            </w:r>
          </w:p>
          <w:p w14:paraId="6D37EEB0">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snapToGrid/>
                <w:color w:val="000000"/>
                <w:kern w:val="0"/>
                <w:sz w:val="24"/>
                <w:szCs w:val="24"/>
                <w:lang w:val="en-US" w:eastAsia="zh-CN" w:bidi="ar-SA"/>
              </w:rPr>
            </w:pPr>
            <w:r>
              <w:rPr>
                <w:rFonts w:hint="default" w:ascii="Times New Roman" w:hAnsi="Times New Roman" w:eastAsia="宋体" w:cs="Times New Roman"/>
                <w:b w:val="0"/>
                <w:bCs w:val="0"/>
                <w:snapToGrid/>
                <w:color w:val="000000"/>
                <w:kern w:val="0"/>
                <w:sz w:val="24"/>
                <w:szCs w:val="24"/>
                <w:lang w:val="en-US" w:eastAsia="zh-CN" w:bidi="ar-SA"/>
              </w:rPr>
              <w:t>1、工程运行管理单位加强升压站周边公众的宣传工作，提高他们对本工程的了解程度，消除居民对电磁环境的担忧，保护公众健康。</w:t>
            </w:r>
          </w:p>
          <w:p w14:paraId="5AF45C4B">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snapToGrid/>
                <w:color w:val="000000"/>
                <w:kern w:val="0"/>
                <w:sz w:val="24"/>
                <w:szCs w:val="24"/>
                <w:lang w:val="en-US" w:eastAsia="zh-CN" w:bidi="ar-SA"/>
              </w:rPr>
            </w:pPr>
            <w:r>
              <w:rPr>
                <w:rFonts w:hint="default" w:ascii="Times New Roman" w:hAnsi="Times New Roman" w:eastAsia="宋体" w:cs="Times New Roman"/>
                <w:b w:val="0"/>
                <w:bCs w:val="0"/>
                <w:snapToGrid/>
                <w:color w:val="000000"/>
                <w:kern w:val="0"/>
                <w:sz w:val="24"/>
                <w:szCs w:val="24"/>
                <w:lang w:val="en-US" w:eastAsia="zh-CN" w:bidi="ar-SA"/>
              </w:rPr>
              <w:t>2、工程运行单位定期巡视，安装标识。</w:t>
            </w:r>
          </w:p>
          <w:p w14:paraId="4EE716C6">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snapToGrid/>
                <w:color w:val="000000"/>
                <w:kern w:val="0"/>
                <w:sz w:val="24"/>
                <w:szCs w:val="24"/>
                <w:lang w:val="en-US" w:eastAsia="zh-CN" w:bidi="ar-SA"/>
              </w:rPr>
            </w:pPr>
            <w:r>
              <w:rPr>
                <w:rFonts w:hint="default" w:ascii="Times New Roman" w:hAnsi="Times New Roman" w:eastAsia="宋体" w:cs="Times New Roman"/>
                <w:b w:val="0"/>
                <w:bCs w:val="0"/>
                <w:snapToGrid/>
                <w:color w:val="000000"/>
                <w:kern w:val="0"/>
                <w:sz w:val="24"/>
                <w:szCs w:val="24"/>
                <w:lang w:val="en-US" w:eastAsia="zh-CN" w:bidi="ar-SA"/>
              </w:rPr>
              <w:t>3、完善环境管理制度，建立对环保设施的日常工作检查。</w:t>
            </w:r>
          </w:p>
          <w:p w14:paraId="65811203">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snapToGrid/>
                <w:color w:val="000000"/>
                <w:kern w:val="0"/>
                <w:sz w:val="24"/>
                <w:szCs w:val="24"/>
                <w:lang w:val="en-US" w:eastAsia="zh-CN" w:bidi="ar-SA"/>
              </w:rPr>
            </w:pPr>
          </w:p>
          <w:p w14:paraId="24E431D6">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snapToGrid/>
                <w:color w:val="000000"/>
                <w:kern w:val="0"/>
                <w:sz w:val="24"/>
                <w:szCs w:val="24"/>
                <w:lang w:val="en-US" w:eastAsia="zh-CN" w:bidi="ar-SA"/>
              </w:rPr>
            </w:pPr>
          </w:p>
          <w:p w14:paraId="35CBED1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snapToGrid/>
                <w:color w:val="000000"/>
                <w:kern w:val="0"/>
                <w:sz w:val="24"/>
                <w:szCs w:val="24"/>
                <w:lang w:val="en-US" w:eastAsia="zh-CN" w:bidi="ar-SA"/>
              </w:rPr>
            </w:pPr>
          </w:p>
          <w:p w14:paraId="0CD8E707">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snapToGrid/>
                <w:color w:val="000000"/>
                <w:kern w:val="0"/>
                <w:sz w:val="24"/>
                <w:szCs w:val="24"/>
                <w:lang w:val="en-US" w:eastAsia="zh-CN" w:bidi="ar-SA"/>
              </w:rPr>
            </w:pPr>
          </w:p>
          <w:p w14:paraId="3904368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snapToGrid/>
                <w:color w:val="000000"/>
                <w:kern w:val="0"/>
                <w:sz w:val="24"/>
                <w:szCs w:val="24"/>
                <w:lang w:val="en-US" w:eastAsia="zh-CN" w:bidi="ar-SA"/>
              </w:rPr>
            </w:pPr>
          </w:p>
          <w:p w14:paraId="70E3D843">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snapToGrid/>
                <w:color w:val="000000"/>
                <w:kern w:val="0"/>
                <w:sz w:val="24"/>
                <w:szCs w:val="24"/>
                <w:lang w:val="en-US" w:eastAsia="zh-CN" w:bidi="ar-SA"/>
              </w:rPr>
            </w:pPr>
          </w:p>
          <w:p w14:paraId="1441479A">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snapToGrid/>
                <w:color w:val="000000"/>
                <w:kern w:val="0"/>
                <w:sz w:val="24"/>
                <w:szCs w:val="24"/>
                <w:lang w:val="en-US" w:eastAsia="zh-CN" w:bidi="ar-SA"/>
              </w:rPr>
            </w:pPr>
          </w:p>
          <w:p w14:paraId="73B11335">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snapToGrid/>
                <w:color w:val="000000"/>
                <w:kern w:val="0"/>
                <w:sz w:val="24"/>
                <w:szCs w:val="24"/>
                <w:lang w:val="en-US" w:eastAsia="zh-CN" w:bidi="ar-SA"/>
              </w:rPr>
            </w:pPr>
          </w:p>
          <w:p w14:paraId="303EB7F8">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snapToGrid/>
                <w:color w:val="000000"/>
                <w:kern w:val="0"/>
                <w:sz w:val="24"/>
                <w:szCs w:val="24"/>
                <w:lang w:val="en-US" w:eastAsia="zh-CN" w:bidi="ar-SA"/>
              </w:rPr>
            </w:pPr>
          </w:p>
          <w:p w14:paraId="58E86A59">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snapToGrid/>
                <w:color w:val="000000"/>
                <w:kern w:val="0"/>
                <w:sz w:val="24"/>
                <w:szCs w:val="24"/>
                <w:lang w:val="en-US" w:eastAsia="zh-CN" w:bidi="ar-SA"/>
              </w:rPr>
            </w:pPr>
          </w:p>
          <w:p w14:paraId="6EA22363">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snapToGrid/>
                <w:color w:val="000000"/>
                <w:kern w:val="0"/>
                <w:sz w:val="24"/>
                <w:szCs w:val="24"/>
                <w:lang w:val="en-US" w:eastAsia="zh-CN" w:bidi="ar-SA"/>
              </w:rPr>
            </w:pPr>
          </w:p>
          <w:p w14:paraId="3D5BA7BB">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snapToGrid/>
                <w:color w:val="000000"/>
                <w:kern w:val="0"/>
                <w:sz w:val="24"/>
                <w:szCs w:val="24"/>
                <w:lang w:val="en-US" w:eastAsia="zh-CN" w:bidi="ar-SA"/>
              </w:rPr>
            </w:pPr>
          </w:p>
          <w:p w14:paraId="2C715F89">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snapToGrid/>
                <w:color w:val="000000"/>
                <w:kern w:val="0"/>
                <w:sz w:val="24"/>
                <w:szCs w:val="24"/>
                <w:lang w:val="en-US" w:eastAsia="zh-CN" w:bidi="ar-SA"/>
              </w:rPr>
            </w:pPr>
          </w:p>
          <w:p w14:paraId="1ECE3312">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snapToGrid/>
                <w:color w:val="000000"/>
                <w:kern w:val="0"/>
                <w:sz w:val="24"/>
                <w:szCs w:val="24"/>
                <w:lang w:val="en-US" w:eastAsia="zh-CN" w:bidi="ar-SA"/>
              </w:rPr>
            </w:pPr>
          </w:p>
          <w:p w14:paraId="4A877BE5">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snapToGrid/>
                <w:color w:val="000000"/>
                <w:kern w:val="0"/>
                <w:sz w:val="24"/>
                <w:szCs w:val="24"/>
                <w:lang w:val="en-US" w:eastAsia="zh-CN" w:bidi="ar-SA"/>
              </w:rPr>
            </w:pPr>
          </w:p>
          <w:p w14:paraId="2EA0B161">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snapToGrid/>
                <w:color w:val="000000"/>
                <w:kern w:val="0"/>
                <w:sz w:val="24"/>
                <w:szCs w:val="24"/>
                <w:lang w:val="en-US" w:eastAsia="zh-CN" w:bidi="ar-SA"/>
              </w:rPr>
            </w:pPr>
          </w:p>
          <w:p w14:paraId="24493133">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snapToGrid/>
                <w:color w:val="000000"/>
                <w:kern w:val="0"/>
                <w:sz w:val="24"/>
                <w:szCs w:val="24"/>
                <w:lang w:val="en-US" w:eastAsia="zh-CN" w:bidi="ar-SA"/>
              </w:rPr>
            </w:pPr>
          </w:p>
          <w:p w14:paraId="673554BF">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snapToGrid/>
                <w:color w:val="000000"/>
                <w:kern w:val="0"/>
                <w:sz w:val="24"/>
                <w:szCs w:val="24"/>
                <w:lang w:val="en-US" w:eastAsia="zh-CN" w:bidi="ar-SA"/>
              </w:rPr>
            </w:pPr>
          </w:p>
          <w:p w14:paraId="2DEE9D09">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snapToGrid/>
                <w:color w:val="000000"/>
                <w:kern w:val="0"/>
                <w:sz w:val="24"/>
                <w:szCs w:val="24"/>
                <w:lang w:val="en-US" w:eastAsia="zh-CN" w:bidi="ar-SA"/>
              </w:rPr>
            </w:pPr>
          </w:p>
          <w:p w14:paraId="7C14327C">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b w:val="0"/>
                <w:bCs w:val="0"/>
                <w:snapToGrid/>
                <w:color w:val="000000"/>
                <w:kern w:val="0"/>
                <w:sz w:val="24"/>
                <w:szCs w:val="24"/>
                <w:lang w:val="en-US" w:eastAsia="zh-CN" w:bidi="ar-SA"/>
              </w:rPr>
            </w:pPr>
          </w:p>
          <w:p w14:paraId="07B4E01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b w:val="0"/>
                <w:bCs w:val="0"/>
                <w:snapToGrid/>
                <w:color w:val="000000"/>
                <w:kern w:val="0"/>
                <w:sz w:val="24"/>
                <w:szCs w:val="24"/>
                <w:lang w:val="en-US" w:eastAsia="zh-CN" w:bidi="ar-SA"/>
              </w:rPr>
            </w:pPr>
          </w:p>
          <w:p w14:paraId="25210BE5">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b w:val="0"/>
                <w:bCs w:val="0"/>
                <w:snapToGrid/>
                <w:color w:val="000000"/>
                <w:kern w:val="0"/>
                <w:sz w:val="24"/>
                <w:szCs w:val="24"/>
                <w:lang w:val="en-US" w:eastAsia="zh-CN" w:bidi="ar-SA"/>
              </w:rPr>
            </w:pPr>
          </w:p>
          <w:p w14:paraId="7063D76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b w:val="0"/>
                <w:bCs w:val="0"/>
                <w:snapToGrid/>
                <w:color w:val="000000"/>
                <w:kern w:val="0"/>
                <w:sz w:val="24"/>
                <w:szCs w:val="24"/>
                <w:lang w:val="en-US" w:eastAsia="zh-CN" w:bidi="ar-SA"/>
              </w:rPr>
            </w:pPr>
          </w:p>
          <w:p w14:paraId="578B8BE5">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b w:val="0"/>
                <w:bCs w:val="0"/>
                <w:snapToGrid/>
                <w:color w:val="000000"/>
                <w:kern w:val="0"/>
                <w:sz w:val="24"/>
                <w:szCs w:val="24"/>
                <w:lang w:val="en-US" w:eastAsia="zh-CN" w:bidi="ar-SA"/>
              </w:rPr>
            </w:pPr>
          </w:p>
          <w:p w14:paraId="7FE4ACCB">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val="0"/>
                <w:bCs w:val="0"/>
                <w:snapToGrid/>
                <w:color w:val="000000"/>
                <w:kern w:val="0"/>
                <w:sz w:val="24"/>
                <w:szCs w:val="24"/>
                <w:lang w:val="en-US" w:eastAsia="zh-CN" w:bidi="ar-SA"/>
              </w:rPr>
            </w:pPr>
          </w:p>
          <w:p w14:paraId="061ADC88">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 w:val="0"/>
                <w:bCs w:val="0"/>
                <w:snapToGrid/>
                <w:color w:val="000000"/>
                <w:kern w:val="0"/>
                <w:sz w:val="24"/>
                <w:szCs w:val="24"/>
                <w:lang w:val="en-US" w:eastAsia="zh-CN" w:bidi="ar-SA"/>
              </w:rPr>
            </w:pPr>
          </w:p>
          <w:p w14:paraId="3FB1392C">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napToGrid/>
                <w:color w:val="000000"/>
                <w:kern w:val="0"/>
                <w:sz w:val="24"/>
                <w:szCs w:val="24"/>
                <w:lang w:val="en-US" w:eastAsia="zh-CN" w:bidi="ar-SA"/>
              </w:rPr>
            </w:pPr>
          </w:p>
        </w:tc>
      </w:tr>
    </w:tbl>
    <w:p w14:paraId="620E51E7"/>
    <w:sectPr>
      <w:pgSz w:w="11905" w:h="16838"/>
      <w:pgMar w:top="1440" w:right="1803" w:bottom="1440" w:left="1803" w:header="1457" w:footer="992" w:gutter="0"/>
      <w:pgBorders>
        <w:top w:val="none" w:sz="0" w:space="0"/>
        <w:left w:val="none" w:sz="0" w:space="0"/>
        <w:bottom w:val="none" w:sz="0" w:space="0"/>
        <w:right w:val="none" w:sz="0" w:space="0"/>
      </w:pgBorders>
      <w:pgNumType w:fmt="decimal"/>
      <w:cols w:space="0" w:num="1"/>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E2A593">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4A5515">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2F4A5515">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468CAE">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F0068F">
                          <w:pPr>
                            <w:pStyle w:val="8"/>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BF0068F">
                    <w:pPr>
                      <w:pStyle w:val="8"/>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BCDE7">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1488BB">
                          <w:pPr>
                            <w:pStyle w:val="8"/>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C1488BB">
                    <w:pPr>
                      <w:pStyle w:val="8"/>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6806DA">
    <w:pPr>
      <w:spacing w:line="186" w:lineRule="auto"/>
      <w:jc w:val="right"/>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F27184">
                          <w:pPr>
                            <w:pStyle w:val="8"/>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38F27184">
                    <w:pPr>
                      <w:pStyle w:val="8"/>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4D808">
    <w:pPr>
      <w:spacing w:line="186" w:lineRule="auto"/>
      <w:ind w:left="2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EA1219">
                          <w:pPr>
                            <w:pStyle w:val="8"/>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19EA1219">
                    <w:pPr>
                      <w:pStyle w:val="8"/>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7CF53B">
    <w:pPr>
      <w:spacing w:line="186" w:lineRule="auto"/>
      <w:jc w:val="right"/>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F391B3">
                          <w:pPr>
                            <w:pStyle w:val="8"/>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7AF391B3">
                    <w:pPr>
                      <w:pStyle w:val="8"/>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9A29AA">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3C8E3F">
                          <w:pPr>
                            <w:pStyle w:val="8"/>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603C8E3F">
                    <w:pPr>
                      <w:pStyle w:val="8"/>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935988">
    <w:pPr>
      <w:spacing w:line="186" w:lineRule="auto"/>
      <w:jc w:val="right"/>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EAEE40">
                          <w:pPr>
                            <w:pStyle w:val="8"/>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33EAEE40">
                    <w:pPr>
                      <w:pStyle w:val="8"/>
                    </w:pPr>
                    <w:r>
                      <w:fldChar w:fldCharType="begin"/>
                    </w:r>
                    <w:r>
                      <w:instrText xml:space="preserve"> PAGE  \* MERGEFORMAT </w:instrText>
                    </w:r>
                    <w:r>
                      <w:fldChar w:fldCharType="separate"/>
                    </w:r>
                    <w:r>
                      <w:t>17</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470524"/>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CB58B"/>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B79D07"/>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673337"/>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C2CFE4">
    <w:pPr>
      <w:spacing w:line="149" w:lineRule="exact"/>
      <w:jc w:val="right"/>
      <w:rPr>
        <w:rFonts w:ascii="黑体" w:hAnsi="黑体" w:eastAsia="黑体" w:cs="黑体"/>
        <w:sz w:val="21"/>
        <w:szCs w:val="21"/>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B9031B"/>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E8E332">
    <w:pPr>
      <w:spacing w:line="149" w:lineRule="exact"/>
      <w:jc w:val="right"/>
      <w:rPr>
        <w:rFonts w:ascii="黑体" w:hAnsi="黑体" w:eastAsia="黑体" w:cs="黑体"/>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HorizontalSpacing w:val="210"/>
  <w:drawingGridVerticalSpacing w:val="99999990"/>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0OGY0OGRiNTk0NDNiZTZkNTc0ODU5ZWE0NzM3MDIifQ=="/>
  </w:docVars>
  <w:rsids>
    <w:rsidRoot w:val="4F6B6C12"/>
    <w:rsid w:val="015E1189"/>
    <w:rsid w:val="031F0B8D"/>
    <w:rsid w:val="0B33071E"/>
    <w:rsid w:val="0CEF2A86"/>
    <w:rsid w:val="10222353"/>
    <w:rsid w:val="115B4B8E"/>
    <w:rsid w:val="12180977"/>
    <w:rsid w:val="1298493B"/>
    <w:rsid w:val="2B375EF1"/>
    <w:rsid w:val="2EBD6449"/>
    <w:rsid w:val="2F2D4C1A"/>
    <w:rsid w:val="31096850"/>
    <w:rsid w:val="338820A2"/>
    <w:rsid w:val="37954349"/>
    <w:rsid w:val="3B936B4F"/>
    <w:rsid w:val="3CB320DF"/>
    <w:rsid w:val="3CFF5429"/>
    <w:rsid w:val="40E67721"/>
    <w:rsid w:val="417E204F"/>
    <w:rsid w:val="418F5B96"/>
    <w:rsid w:val="41B810BD"/>
    <w:rsid w:val="43087E22"/>
    <w:rsid w:val="471E0B42"/>
    <w:rsid w:val="475C698F"/>
    <w:rsid w:val="4C125AE7"/>
    <w:rsid w:val="4F6B6C12"/>
    <w:rsid w:val="51754B1B"/>
    <w:rsid w:val="55266CB9"/>
    <w:rsid w:val="58D45B55"/>
    <w:rsid w:val="5A7E06BE"/>
    <w:rsid w:val="5A9C512C"/>
    <w:rsid w:val="6A44239D"/>
    <w:rsid w:val="6E4A1AF6"/>
    <w:rsid w:val="7060454A"/>
    <w:rsid w:val="736C4B9D"/>
    <w:rsid w:val="748D62DC"/>
    <w:rsid w:val="7AAD26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3">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5"/>
    <w:basedOn w:val="1"/>
    <w:next w:val="1"/>
    <w:autoRedefine/>
    <w:qFormat/>
    <w:uiPriority w:val="1"/>
    <w:pPr>
      <w:outlineLvl w:val="4"/>
    </w:pPr>
    <w:rPr>
      <w:rFonts w:ascii="微软雅黑" w:hAnsi="微软雅黑" w:eastAsia="微软雅黑" w:cs="微软雅黑"/>
      <w:b/>
      <w:bCs/>
      <w:sz w:val="24"/>
      <w:szCs w:val="24"/>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rPr>
  </w:style>
  <w:style w:type="paragraph" w:styleId="5">
    <w:name w:val="Normal Indent"/>
    <w:basedOn w:val="1"/>
    <w:autoRedefine/>
    <w:qFormat/>
    <w:uiPriority w:val="0"/>
    <w:pPr>
      <w:adjustRightInd w:val="0"/>
      <w:snapToGrid w:val="0"/>
      <w:spacing w:line="300" w:lineRule="auto"/>
      <w:ind w:firstLine="200" w:firstLineChars="200"/>
    </w:pPr>
    <w:rPr>
      <w:rFonts w:ascii="仿宋_GB2312" w:eastAsia="仿宋_GB2312"/>
      <w:color w:val="000000"/>
      <w:kern w:val="0"/>
      <w:sz w:val="28"/>
    </w:rPr>
  </w:style>
  <w:style w:type="paragraph" w:styleId="6">
    <w:name w:val="Body Text Indent"/>
    <w:basedOn w:val="1"/>
    <w:autoRedefine/>
    <w:qFormat/>
    <w:uiPriority w:val="0"/>
    <w:pPr>
      <w:spacing w:after="120" w:afterLines="0" w:afterAutospacing="0"/>
      <w:ind w:left="420" w:leftChars="200"/>
    </w:pPr>
  </w:style>
  <w:style w:type="paragraph" w:styleId="7">
    <w:name w:val="Plain Text"/>
    <w:basedOn w:val="1"/>
    <w:autoRedefine/>
    <w:qFormat/>
    <w:uiPriority w:val="0"/>
    <w:rPr>
      <w:rFonts w:ascii="宋体" w:hAnsi="Courier New"/>
      <w:kern w:val="0"/>
    </w:rPr>
  </w:style>
  <w:style w:type="paragraph" w:styleId="8">
    <w:name w:val="footer"/>
    <w:basedOn w:val="1"/>
    <w:autoRedefine/>
    <w:qFormat/>
    <w:uiPriority w:val="0"/>
    <w:pPr>
      <w:tabs>
        <w:tab w:val="center" w:pos="4153"/>
        <w:tab w:val="right" w:pos="8306"/>
      </w:tabs>
      <w:snapToGrid w:val="0"/>
      <w:jc w:val="left"/>
    </w:pPr>
    <w:rPr>
      <w:sz w:val="18"/>
    </w:rPr>
  </w:style>
  <w:style w:type="paragraph" w:styleId="9">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List"/>
    <w:basedOn w:val="1"/>
    <w:autoRedefine/>
    <w:qFormat/>
    <w:uiPriority w:val="99"/>
    <w:pPr>
      <w:spacing w:line="320" w:lineRule="exact"/>
      <w:ind w:firstLine="0" w:firstLineChars="0"/>
      <w:jc w:val="center"/>
    </w:pPr>
    <w:rPr>
      <w:sz w:val="22"/>
    </w:rPr>
  </w:style>
  <w:style w:type="paragraph" w:styleId="11">
    <w:name w:val="Body Text First Indent 2"/>
    <w:basedOn w:val="6"/>
    <w:next w:val="1"/>
    <w:autoRedefine/>
    <w:qFormat/>
    <w:uiPriority w:val="0"/>
    <w:pPr>
      <w:ind w:firstLine="420" w:firstLineChars="200"/>
    </w:pPr>
  </w:style>
  <w:style w:type="table" w:styleId="13">
    <w:name w:val="Table Grid"/>
    <w:basedOn w:val="1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annotation reference"/>
    <w:autoRedefine/>
    <w:qFormat/>
    <w:uiPriority w:val="0"/>
    <w:rPr>
      <w:sz w:val="21"/>
      <w:szCs w:val="21"/>
    </w:rPr>
  </w:style>
  <w:style w:type="table" w:customStyle="1" w:styleId="16">
    <w:name w:val="Table Normal"/>
    <w:autoRedefine/>
    <w:semiHidden/>
    <w:unhideWhenUsed/>
    <w:qFormat/>
    <w:uiPriority w:val="0"/>
    <w:tblPr>
      <w:tblCellMar>
        <w:top w:w="0" w:type="dxa"/>
        <w:left w:w="0" w:type="dxa"/>
        <w:bottom w:w="0" w:type="dxa"/>
        <w:right w:w="0" w:type="dxa"/>
      </w:tblCellMar>
    </w:tblPr>
  </w:style>
  <w:style w:type="paragraph" w:customStyle="1" w:styleId="17">
    <w:name w:val="Table Paragraph"/>
    <w:basedOn w:val="1"/>
    <w:autoRedefine/>
    <w:qFormat/>
    <w:uiPriority w:val="1"/>
    <w:pPr>
      <w:jc w:val="center"/>
    </w:pPr>
    <w:rPr>
      <w:rFonts w:ascii="宋体" w:hAnsi="宋体" w:eastAsia="宋体" w:cs="宋体"/>
    </w:rPr>
  </w:style>
  <w:style w:type="paragraph" w:customStyle="1" w:styleId="18">
    <w:name w:val="弘正正文29"/>
    <w:basedOn w:val="1"/>
    <w:autoRedefine/>
    <w:qFormat/>
    <w:uiPriority w:val="0"/>
    <w:pPr>
      <w:overflowPunct w:val="0"/>
      <w:topLinePunct/>
      <w:snapToGrid w:val="0"/>
      <w:spacing w:line="580" w:lineRule="exact"/>
      <w:ind w:firstLine="200" w:firstLineChars="200"/>
    </w:pPr>
    <w:rPr>
      <w:snapToGrid w:val="0"/>
      <w:kern w:val="0"/>
      <w:sz w:val="24"/>
      <w:szCs w:val="28"/>
      <w:lang w:val="zh-CN"/>
    </w:rPr>
  </w:style>
  <w:style w:type="paragraph" w:styleId="19">
    <w:name w:val="List Paragraph"/>
    <w:basedOn w:val="1"/>
    <w:autoRedefine/>
    <w:qFormat/>
    <w:uiPriority w:val="1"/>
    <w:pPr>
      <w:ind w:left="358" w:hanging="240"/>
    </w:pPr>
    <w:rPr>
      <w:rFonts w:ascii="微软雅黑" w:hAnsi="微软雅黑" w:eastAsia="微软雅黑" w:cs="微软雅黑"/>
    </w:rPr>
  </w:style>
  <w:style w:type="character" w:customStyle="1" w:styleId="20">
    <w:name w:val="fontstyle01"/>
    <w:basedOn w:val="14"/>
    <w:autoRedefine/>
    <w:qFormat/>
    <w:uiPriority w:val="0"/>
    <w:rPr>
      <w:rFonts w:hint="eastAsia" w:ascii="宋体" w:hAnsi="宋体" w:eastAsia="宋体" w:cs="宋体"/>
      <w:color w:val="000000"/>
      <w:sz w:val="22"/>
      <w:szCs w:val="22"/>
    </w:rPr>
  </w:style>
  <w:style w:type="character" w:customStyle="1" w:styleId="21">
    <w:name w:val="fontstyle21"/>
    <w:basedOn w:val="14"/>
    <w:autoRedefine/>
    <w:qFormat/>
    <w:uiPriority w:val="0"/>
    <w:rPr>
      <w:rFonts w:hint="default" w:ascii="Times New Roman" w:hAnsi="Times New Roman" w:cs="Times New Roman"/>
      <w:color w:val="000000"/>
      <w:sz w:val="22"/>
      <w:szCs w:val="22"/>
    </w:rPr>
  </w:style>
  <w:style w:type="paragraph" w:customStyle="1" w:styleId="22">
    <w:name w:val="Table Text"/>
    <w:basedOn w:val="1"/>
    <w:autoRedefine/>
    <w:semiHidden/>
    <w:qFormat/>
    <w:uiPriority w:val="0"/>
    <w:rPr>
      <w:rFonts w:ascii="宋体" w:hAnsi="宋体" w:eastAsia="宋体" w:cs="宋体"/>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6" Type="http://schemas.openxmlformats.org/officeDocument/2006/relationships/fontTable" Target="fontTable.xml"/><Relationship Id="rId35" Type="http://schemas.openxmlformats.org/officeDocument/2006/relationships/customXml" Target="../customXml/item1.xml"/><Relationship Id="rId34" Type="http://schemas.openxmlformats.org/officeDocument/2006/relationships/image" Target="media/image14.png"/><Relationship Id="rId33" Type="http://schemas.openxmlformats.org/officeDocument/2006/relationships/image" Target="media/image13.jpeg"/><Relationship Id="rId32" Type="http://schemas.openxmlformats.org/officeDocument/2006/relationships/image" Target="media/image12.jpeg"/><Relationship Id="rId31" Type="http://schemas.openxmlformats.org/officeDocument/2006/relationships/image" Target="media/image11.jpeg"/><Relationship Id="rId30" Type="http://schemas.openxmlformats.org/officeDocument/2006/relationships/image" Target="media/image10.jpeg"/><Relationship Id="rId3" Type="http://schemas.openxmlformats.org/officeDocument/2006/relationships/footnotes" Target="footnotes.xml"/><Relationship Id="rId29" Type="http://schemas.openxmlformats.org/officeDocument/2006/relationships/image" Target="media/image9.jpeg"/><Relationship Id="rId28" Type="http://schemas.openxmlformats.org/officeDocument/2006/relationships/image" Target="media/image8.jpeg"/><Relationship Id="rId27" Type="http://schemas.openxmlformats.org/officeDocument/2006/relationships/image" Target="media/image7.jpeg"/><Relationship Id="rId26" Type="http://schemas.openxmlformats.org/officeDocument/2006/relationships/image" Target="media/image6.jpeg"/><Relationship Id="rId25" Type="http://schemas.openxmlformats.org/officeDocument/2006/relationships/image" Target="media/image5.jpeg"/><Relationship Id="rId24" Type="http://schemas.openxmlformats.org/officeDocument/2006/relationships/image" Target="media/image4.jpeg"/><Relationship Id="rId23" Type="http://schemas.openxmlformats.org/officeDocument/2006/relationships/image" Target="media/image3.jpeg"/><Relationship Id="rId22" Type="http://schemas.openxmlformats.org/officeDocument/2006/relationships/image" Target="media/image2.jpeg"/><Relationship Id="rId21" Type="http://schemas.openxmlformats.org/officeDocument/2006/relationships/image" Target="media/image1.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8.xml"/><Relationship Id="rId18" Type="http://schemas.openxmlformats.org/officeDocument/2006/relationships/header" Target="header7.xml"/><Relationship Id="rId17" Type="http://schemas.openxmlformats.org/officeDocument/2006/relationships/footer" Target="footer7.xml"/><Relationship Id="rId16" Type="http://schemas.openxmlformats.org/officeDocument/2006/relationships/header" Target="header6.xml"/><Relationship Id="rId15" Type="http://schemas.openxmlformats.org/officeDocument/2006/relationships/footer" Target="footer6.xml"/><Relationship Id="rId14" Type="http://schemas.openxmlformats.org/officeDocument/2006/relationships/header" Target="header5.xml"/><Relationship Id="rId13" Type="http://schemas.openxmlformats.org/officeDocument/2006/relationships/footer" Target="footer5.xml"/><Relationship Id="rId12" Type="http://schemas.openxmlformats.org/officeDocument/2006/relationships/header" Target="header4.xml"/><Relationship Id="rId11" Type="http://schemas.openxmlformats.org/officeDocument/2006/relationships/footer" Target="footer4.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1421</Words>
  <Characters>1644</Characters>
  <Lines>0</Lines>
  <Paragraphs>0</Paragraphs>
  <TotalTime>16</TotalTime>
  <ScaleCrop>false</ScaleCrop>
  <LinksUpToDate>false</LinksUpToDate>
  <CharactersWithSpaces>1644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2022-12-16T06:37:00Z</dcterms:created>
  <dc:creator>沧海月明</dc:creator>
  <cp:lastModifiedBy>七星瓢虫</cp:lastModifiedBy>
  <cp:lastPrinted>2023-06-13T06:09:00Z</cp:lastPrinted>
  <dcterms:modified xsi:type="dcterms:W3CDTF">2024-11-18T01:36:04Z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7237EBA75EA94D7EA3E5AB61B8AFDA13</vt:lpwstr>
  </property>
</Properties>
</file>